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3C997B">
      <w:pPr>
        <w:pStyle w:val="9"/>
        <w:spacing w:before="340" w:after="330" w:line="360" w:lineRule="auto"/>
        <w:rPr>
          <w:sz w:val="44"/>
          <w:szCs w:val="44"/>
        </w:rPr>
      </w:pPr>
      <w:r>
        <w:rPr>
          <w:rFonts w:hint="eastAsia"/>
          <w:sz w:val="44"/>
          <w:szCs w:val="44"/>
        </w:rPr>
        <w:t>产品买卖</w:t>
      </w:r>
      <w:r>
        <w:rPr>
          <w:sz w:val="44"/>
          <w:szCs w:val="44"/>
        </w:rPr>
        <w:t>合同</w:t>
      </w:r>
    </w:p>
    <w:p w14:paraId="5457C840">
      <w:pPr>
        <w:snapToGrid w:val="0"/>
        <w:spacing w:line="360" w:lineRule="auto"/>
        <w:rPr>
          <w:rFonts w:asciiTheme="minorEastAsia" w:hAnsiTheme="minorEastAsia" w:eastAsiaTheme="minorEastAsia"/>
          <w:b/>
          <w:color w:val="000000"/>
          <w:sz w:val="24"/>
          <w:szCs w:val="24"/>
        </w:rPr>
      </w:pPr>
    </w:p>
    <w:p w14:paraId="50C45532">
      <w:pPr>
        <w:snapToGrid w:val="0"/>
        <w:spacing w:line="360" w:lineRule="auto"/>
        <w:rPr>
          <w:rFonts w:hint="eastAsia" w:cs="宋体" w:asciiTheme="minorEastAsia" w:hAnsiTheme="minorEastAsia" w:eastAsiaTheme="minorEastAsia"/>
          <w:b/>
          <w:bCs/>
          <w:sz w:val="24"/>
          <w:lang w:eastAsia="zh-CN"/>
        </w:rPr>
      </w:pPr>
      <w:r>
        <w:rPr>
          <w:rFonts w:hint="eastAsia" w:asciiTheme="minorEastAsia" w:hAnsiTheme="minorEastAsia" w:eastAsiaTheme="minorEastAsia"/>
          <w:b/>
          <w:sz w:val="24"/>
        </w:rPr>
        <w:t>甲方（</w:t>
      </w:r>
      <w:r>
        <w:rPr>
          <w:rFonts w:hint="eastAsia" w:asciiTheme="minorEastAsia" w:hAnsiTheme="minorEastAsia" w:eastAsiaTheme="minorEastAsia"/>
          <w:b/>
          <w:sz w:val="24"/>
          <w:lang w:val="en-US" w:eastAsia="zh-CN"/>
        </w:rPr>
        <w:t>买</w:t>
      </w:r>
      <w:r>
        <w:rPr>
          <w:rFonts w:hint="eastAsia" w:asciiTheme="minorEastAsia" w:hAnsiTheme="minorEastAsia" w:eastAsiaTheme="minorEastAsia"/>
          <w:b/>
          <w:sz w:val="24"/>
        </w:rPr>
        <w:t>方）：</w:t>
      </w:r>
      <w:r>
        <w:rPr>
          <w:rFonts w:hint="eastAsia" w:cs="宋体" w:asciiTheme="minorEastAsia" w:hAnsiTheme="minorEastAsia" w:eastAsiaTheme="minorEastAsia"/>
          <w:b/>
          <w:bCs/>
          <w:sz w:val="24"/>
          <w:lang w:eastAsia="zh-CN"/>
        </w:rPr>
        <w:t>广东省北京师范大学珠海校区教育发展基金会</w:t>
      </w:r>
    </w:p>
    <w:p w14:paraId="17053AA8">
      <w:pPr>
        <w:snapToGrid w:val="0"/>
        <w:spacing w:line="360" w:lineRule="auto"/>
        <w:rPr>
          <w:rFonts w:hint="default" w:cs="宋体" w:asciiTheme="minorEastAsia" w:hAnsiTheme="minorEastAsia" w:eastAsiaTheme="minorEastAsia"/>
          <w:bCs/>
          <w:sz w:val="24"/>
          <w:lang w:val="en-US" w:eastAsia="zh-CN"/>
        </w:rPr>
      </w:pPr>
      <w:r>
        <w:rPr>
          <w:rFonts w:hint="eastAsia" w:cs="宋体" w:asciiTheme="minorEastAsia" w:hAnsiTheme="minorEastAsia" w:eastAsiaTheme="minorEastAsia"/>
          <w:bCs/>
          <w:sz w:val="24"/>
        </w:rPr>
        <w:t>法定代表人：</w:t>
      </w:r>
      <w:r>
        <w:rPr>
          <w:rFonts w:hint="eastAsia" w:cs="宋体" w:asciiTheme="minorEastAsia" w:hAnsiTheme="minorEastAsia" w:eastAsiaTheme="minorEastAsia"/>
          <w:bCs/>
          <w:sz w:val="24"/>
          <w:lang w:val="en-US" w:eastAsia="zh-CN"/>
        </w:rPr>
        <w:t>韦蔚</w:t>
      </w:r>
    </w:p>
    <w:p w14:paraId="3EA7EA31">
      <w:pPr>
        <w:spacing w:line="360" w:lineRule="auto"/>
        <w:rPr>
          <w:rFonts w:hint="default" w:asciiTheme="minorEastAsia" w:hAnsiTheme="minorEastAsia" w:eastAsiaTheme="minorEastAsia"/>
          <w:sz w:val="24"/>
          <w:u w:val="single"/>
          <w:lang w:val="en-US" w:eastAsia="zh-CN"/>
        </w:rPr>
      </w:pPr>
      <w:r>
        <w:rPr>
          <w:rFonts w:hint="eastAsia" w:cs="宋体" w:asciiTheme="minorEastAsia" w:hAnsiTheme="minorEastAsia" w:eastAsiaTheme="minorEastAsia"/>
          <w:bCs/>
          <w:sz w:val="24"/>
        </w:rPr>
        <w:t>地址：</w:t>
      </w:r>
      <w:r>
        <w:rPr>
          <w:rFonts w:hint="eastAsia" w:asciiTheme="minorEastAsia" w:hAnsiTheme="minorEastAsia"/>
          <w:spacing w:val="-11"/>
          <w:sz w:val="24"/>
          <w:szCs w:val="24"/>
          <w:lang w:val="en-US" w:eastAsia="zh-CN"/>
        </w:rPr>
        <w:t>珠海市金凤路18号北京师范大学珠海分校励教楼A101-A102以及原体育器材室</w:t>
      </w:r>
    </w:p>
    <w:p w14:paraId="6E077CDC">
      <w:pPr>
        <w:spacing w:line="360" w:lineRule="auto"/>
        <w:rPr>
          <w:rFonts w:hint="eastAsia" w:ascii="宋体" w:hAnsi="宋体" w:eastAsia="宋体"/>
          <w:sz w:val="24"/>
          <w:szCs w:val="24"/>
        </w:rPr>
      </w:pPr>
      <w:r>
        <w:rPr>
          <w:rFonts w:hint="eastAsia" w:ascii="宋体" w:hAnsi="宋体" w:eastAsia="宋体"/>
          <w:sz w:val="24"/>
          <w:szCs w:val="24"/>
        </w:rPr>
        <w:t xml:space="preserve">项目联系人：   </w:t>
      </w:r>
    </w:p>
    <w:p w14:paraId="2B759711">
      <w:pPr>
        <w:spacing w:line="360" w:lineRule="auto"/>
        <w:rPr>
          <w:rFonts w:hint="eastAsia" w:ascii="宋体" w:hAnsi="宋体" w:eastAsia="宋体"/>
          <w:sz w:val="24"/>
          <w:szCs w:val="24"/>
        </w:rPr>
      </w:pPr>
      <w:r>
        <w:rPr>
          <w:rFonts w:hint="eastAsia" w:ascii="宋体" w:hAnsi="宋体" w:eastAsia="宋体"/>
          <w:sz w:val="24"/>
          <w:szCs w:val="24"/>
        </w:rPr>
        <w:t>联系方式：</w:t>
      </w:r>
      <w:bookmarkStart w:id="0" w:name="_GoBack"/>
    </w:p>
    <w:p w14:paraId="5CA47A4B">
      <w:pPr>
        <w:spacing w:line="360" w:lineRule="auto"/>
        <w:rPr>
          <w:rFonts w:asciiTheme="minorEastAsia" w:hAnsiTheme="minorEastAsia" w:eastAsiaTheme="minorEastAsia"/>
          <w:color w:val="000000"/>
          <w:sz w:val="24"/>
          <w:szCs w:val="24"/>
        </w:rPr>
      </w:pPr>
    </w:p>
    <w:bookmarkEnd w:id="0"/>
    <w:p w14:paraId="2C3E51D4">
      <w:pPr>
        <w:spacing w:line="360" w:lineRule="auto"/>
        <w:rPr>
          <w:rFonts w:asciiTheme="minorEastAsia" w:hAnsiTheme="minorEastAsia" w:eastAsiaTheme="minorEastAsia"/>
          <w:bCs/>
          <w:color w:val="000000"/>
          <w:sz w:val="24"/>
          <w:szCs w:val="24"/>
        </w:rPr>
      </w:pPr>
      <w:r>
        <w:rPr>
          <w:rFonts w:hint="eastAsia" w:asciiTheme="minorEastAsia" w:hAnsiTheme="minorEastAsia" w:eastAsiaTheme="minorEastAsia"/>
          <w:bCs/>
          <w:color w:val="000000"/>
          <w:sz w:val="24"/>
          <w:szCs w:val="24"/>
        </w:rPr>
        <w:t>乙方（卖方）：</w:t>
      </w:r>
    </w:p>
    <w:p w14:paraId="7BD1F9A5">
      <w:pPr>
        <w:spacing w:line="360" w:lineRule="auto"/>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地址</w:t>
      </w:r>
      <w:r>
        <w:rPr>
          <w:rFonts w:asciiTheme="minorEastAsia" w:hAnsiTheme="minorEastAsia" w:eastAsiaTheme="minorEastAsia"/>
          <w:color w:val="000000"/>
          <w:sz w:val="24"/>
          <w:szCs w:val="24"/>
        </w:rPr>
        <w:t>：</w:t>
      </w:r>
    </w:p>
    <w:p w14:paraId="62BEACF7">
      <w:pPr>
        <w:spacing w:line="360" w:lineRule="auto"/>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法定</w:t>
      </w:r>
      <w:r>
        <w:rPr>
          <w:rFonts w:asciiTheme="minorEastAsia" w:hAnsiTheme="minorEastAsia" w:eastAsiaTheme="minorEastAsia"/>
          <w:color w:val="000000"/>
          <w:sz w:val="24"/>
          <w:szCs w:val="24"/>
        </w:rPr>
        <w:t>代表人：</w:t>
      </w:r>
    </w:p>
    <w:p w14:paraId="6AA32670">
      <w:pPr>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项目联系人：   </w:t>
      </w:r>
    </w:p>
    <w:p w14:paraId="056F2F5B">
      <w:pPr>
        <w:spacing w:line="360" w:lineRule="auto"/>
        <w:rPr>
          <w:rFonts w:asciiTheme="minorEastAsia" w:hAnsiTheme="minorEastAsia" w:eastAsiaTheme="minorEastAsia"/>
          <w:color w:val="000000"/>
          <w:sz w:val="24"/>
          <w:szCs w:val="24"/>
        </w:rPr>
      </w:pPr>
      <w:r>
        <w:rPr>
          <w:rFonts w:hint="eastAsia" w:asciiTheme="minorEastAsia" w:hAnsiTheme="minorEastAsia" w:eastAsiaTheme="minorEastAsia"/>
          <w:sz w:val="24"/>
          <w:szCs w:val="24"/>
        </w:rPr>
        <w:t>联系方式：</w:t>
      </w:r>
    </w:p>
    <w:p w14:paraId="65A5CCB1">
      <w:pPr>
        <w:spacing w:line="360" w:lineRule="auto"/>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统一社会信用代码：</w:t>
      </w:r>
    </w:p>
    <w:p w14:paraId="44772914">
      <w:pPr>
        <w:spacing w:line="360" w:lineRule="auto"/>
        <w:ind w:firstLine="480"/>
        <w:rPr>
          <w:rFonts w:asciiTheme="minorEastAsia" w:hAnsiTheme="minorEastAsia" w:eastAsiaTheme="minorEastAsia"/>
          <w:color w:val="000000"/>
          <w:sz w:val="24"/>
          <w:szCs w:val="24"/>
        </w:rPr>
      </w:pPr>
    </w:p>
    <w:p w14:paraId="77A78A46">
      <w:pPr>
        <w:spacing w:line="360" w:lineRule="auto"/>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经双方协商，就买方向卖方采购本合同约定的产品（以下简称“产品”），以及由卖方提供产品售后服务等事宜，达成协议如下：</w:t>
      </w:r>
    </w:p>
    <w:p w14:paraId="65FB65F3">
      <w:pPr>
        <w:numPr>
          <w:ilvl w:val="0"/>
          <w:numId w:val="1"/>
        </w:numPr>
        <w:spacing w:after="312" w:afterLines="100" w:line="360" w:lineRule="auto"/>
        <w:rPr>
          <w:rFonts w:asciiTheme="minorEastAsia" w:hAnsiTheme="minorEastAsia" w:eastAsiaTheme="minorEastAsia"/>
          <w:b/>
          <w:color w:val="000000"/>
          <w:sz w:val="28"/>
          <w:szCs w:val="28"/>
        </w:rPr>
      </w:pPr>
      <w:r>
        <w:rPr>
          <w:rFonts w:hint="eastAsia" w:asciiTheme="minorEastAsia" w:hAnsiTheme="minorEastAsia" w:eastAsiaTheme="minorEastAsia"/>
          <w:b/>
          <w:color w:val="000000"/>
          <w:sz w:val="28"/>
          <w:szCs w:val="28"/>
        </w:rPr>
        <w:t>产品清单：</w:t>
      </w:r>
    </w:p>
    <w:tbl>
      <w:tblPr>
        <w:tblStyle w:val="11"/>
        <w:tblW w:w="8506" w:type="dxa"/>
        <w:jc w:val="center"/>
        <w:tblLayout w:type="fixed"/>
        <w:tblCellMar>
          <w:top w:w="0" w:type="dxa"/>
          <w:left w:w="108" w:type="dxa"/>
          <w:bottom w:w="0" w:type="dxa"/>
          <w:right w:w="108" w:type="dxa"/>
        </w:tblCellMar>
      </w:tblPr>
      <w:tblGrid>
        <w:gridCol w:w="1447"/>
        <w:gridCol w:w="992"/>
        <w:gridCol w:w="1134"/>
        <w:gridCol w:w="1276"/>
        <w:gridCol w:w="2239"/>
        <w:gridCol w:w="1418"/>
      </w:tblGrid>
      <w:tr w14:paraId="37C86A4C">
        <w:tblPrEx>
          <w:tblCellMar>
            <w:top w:w="0" w:type="dxa"/>
            <w:left w:w="108" w:type="dxa"/>
            <w:bottom w:w="0" w:type="dxa"/>
            <w:right w:w="108" w:type="dxa"/>
          </w:tblCellMar>
        </w:tblPrEx>
        <w:trPr>
          <w:trHeight w:val="405" w:hRule="atLeast"/>
          <w:jc w:val="center"/>
        </w:trPr>
        <w:tc>
          <w:tcPr>
            <w:tcW w:w="1447" w:type="dxa"/>
            <w:tcBorders>
              <w:top w:val="single" w:color="auto" w:sz="4" w:space="0"/>
              <w:left w:val="single" w:color="auto" w:sz="4" w:space="0"/>
              <w:bottom w:val="single" w:color="auto" w:sz="4" w:space="0"/>
              <w:right w:val="single" w:color="auto" w:sz="4" w:space="0"/>
            </w:tcBorders>
            <w:vAlign w:val="center"/>
          </w:tcPr>
          <w:p w14:paraId="7B71377C">
            <w:pPr>
              <w:widowControl/>
              <w:spacing w:line="360" w:lineRule="auto"/>
              <w:jc w:val="center"/>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名称</w:t>
            </w:r>
          </w:p>
        </w:tc>
        <w:tc>
          <w:tcPr>
            <w:tcW w:w="992" w:type="dxa"/>
            <w:tcBorders>
              <w:top w:val="single" w:color="auto" w:sz="4" w:space="0"/>
              <w:left w:val="nil"/>
              <w:bottom w:val="single" w:color="auto" w:sz="4" w:space="0"/>
              <w:right w:val="single" w:color="auto" w:sz="4" w:space="0"/>
            </w:tcBorders>
            <w:vAlign w:val="center"/>
          </w:tcPr>
          <w:p w14:paraId="26D32E38">
            <w:pPr>
              <w:widowControl/>
              <w:spacing w:line="360" w:lineRule="auto"/>
              <w:jc w:val="center"/>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型号</w:t>
            </w:r>
          </w:p>
        </w:tc>
        <w:tc>
          <w:tcPr>
            <w:tcW w:w="1134" w:type="dxa"/>
            <w:tcBorders>
              <w:top w:val="single" w:color="auto" w:sz="4" w:space="0"/>
              <w:left w:val="nil"/>
              <w:bottom w:val="single" w:color="auto" w:sz="4" w:space="0"/>
              <w:right w:val="single" w:color="auto" w:sz="4" w:space="0"/>
            </w:tcBorders>
            <w:vAlign w:val="center"/>
          </w:tcPr>
          <w:p w14:paraId="0B5B7984">
            <w:pPr>
              <w:widowControl/>
              <w:spacing w:line="360" w:lineRule="auto"/>
              <w:jc w:val="center"/>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尺寸</w:t>
            </w:r>
          </w:p>
        </w:tc>
        <w:tc>
          <w:tcPr>
            <w:tcW w:w="1276" w:type="dxa"/>
            <w:tcBorders>
              <w:top w:val="single" w:color="auto" w:sz="4" w:space="0"/>
              <w:left w:val="single" w:color="auto" w:sz="4" w:space="0"/>
              <w:bottom w:val="single" w:color="auto" w:sz="4" w:space="0"/>
              <w:right w:val="single" w:color="auto" w:sz="4" w:space="0"/>
            </w:tcBorders>
            <w:vAlign w:val="center"/>
          </w:tcPr>
          <w:p w14:paraId="0199E492">
            <w:pPr>
              <w:widowControl/>
              <w:spacing w:line="360" w:lineRule="auto"/>
              <w:jc w:val="center"/>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数量</w:t>
            </w:r>
          </w:p>
        </w:tc>
        <w:tc>
          <w:tcPr>
            <w:tcW w:w="2239" w:type="dxa"/>
            <w:tcBorders>
              <w:top w:val="single" w:color="auto" w:sz="4" w:space="0"/>
              <w:left w:val="nil"/>
              <w:bottom w:val="single" w:color="auto" w:sz="4" w:space="0"/>
              <w:right w:val="single" w:color="auto" w:sz="4" w:space="0"/>
            </w:tcBorders>
            <w:vAlign w:val="center"/>
          </w:tcPr>
          <w:p w14:paraId="75745F86">
            <w:pPr>
              <w:widowControl/>
              <w:spacing w:line="360" w:lineRule="auto"/>
              <w:jc w:val="center"/>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单价</w:t>
            </w:r>
          </w:p>
        </w:tc>
        <w:tc>
          <w:tcPr>
            <w:tcW w:w="1418" w:type="dxa"/>
            <w:tcBorders>
              <w:top w:val="single" w:color="auto" w:sz="4" w:space="0"/>
              <w:left w:val="nil"/>
              <w:bottom w:val="single" w:color="auto" w:sz="4" w:space="0"/>
              <w:right w:val="single" w:color="auto" w:sz="4" w:space="0"/>
            </w:tcBorders>
            <w:vAlign w:val="center"/>
          </w:tcPr>
          <w:p w14:paraId="633ADE70">
            <w:pPr>
              <w:widowControl/>
              <w:spacing w:line="360" w:lineRule="auto"/>
              <w:jc w:val="center"/>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金额</w:t>
            </w:r>
          </w:p>
          <w:p w14:paraId="2A4AB7D2">
            <w:pPr>
              <w:widowControl/>
              <w:spacing w:line="360" w:lineRule="auto"/>
              <w:jc w:val="center"/>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小计</w:t>
            </w:r>
          </w:p>
        </w:tc>
      </w:tr>
      <w:tr w14:paraId="72EB2E6D">
        <w:tblPrEx>
          <w:tblCellMar>
            <w:top w:w="0" w:type="dxa"/>
            <w:left w:w="108" w:type="dxa"/>
            <w:bottom w:w="0" w:type="dxa"/>
            <w:right w:w="108" w:type="dxa"/>
          </w:tblCellMar>
        </w:tblPrEx>
        <w:trPr>
          <w:trHeight w:val="901" w:hRule="atLeast"/>
          <w:jc w:val="center"/>
        </w:trPr>
        <w:tc>
          <w:tcPr>
            <w:tcW w:w="1447" w:type="dxa"/>
            <w:tcBorders>
              <w:top w:val="nil"/>
              <w:left w:val="single" w:color="auto" w:sz="4" w:space="0"/>
              <w:bottom w:val="single" w:color="auto" w:sz="4" w:space="0"/>
              <w:right w:val="single" w:color="auto" w:sz="4" w:space="0"/>
            </w:tcBorders>
            <w:vAlign w:val="center"/>
          </w:tcPr>
          <w:p w14:paraId="514FB4C6">
            <w:pPr>
              <w:widowControl/>
              <w:spacing w:line="360" w:lineRule="auto"/>
              <w:jc w:val="center"/>
              <w:rPr>
                <w:rFonts w:asciiTheme="minorEastAsia" w:hAnsiTheme="minorEastAsia" w:eastAsiaTheme="minorEastAsia"/>
                <w:color w:val="000000"/>
                <w:sz w:val="24"/>
                <w:szCs w:val="24"/>
              </w:rPr>
            </w:pPr>
          </w:p>
        </w:tc>
        <w:tc>
          <w:tcPr>
            <w:tcW w:w="992" w:type="dxa"/>
            <w:tcBorders>
              <w:top w:val="nil"/>
              <w:left w:val="nil"/>
              <w:bottom w:val="single" w:color="auto" w:sz="4" w:space="0"/>
              <w:right w:val="single" w:color="auto" w:sz="4" w:space="0"/>
            </w:tcBorders>
            <w:vAlign w:val="center"/>
          </w:tcPr>
          <w:p w14:paraId="404D46A1">
            <w:pPr>
              <w:widowControl/>
              <w:spacing w:line="360" w:lineRule="auto"/>
              <w:jc w:val="center"/>
              <w:rPr>
                <w:rFonts w:asciiTheme="minorEastAsia" w:hAnsiTheme="minorEastAsia" w:eastAsiaTheme="minorEastAsia"/>
                <w:color w:val="000000"/>
                <w:sz w:val="24"/>
                <w:szCs w:val="24"/>
              </w:rPr>
            </w:pPr>
          </w:p>
        </w:tc>
        <w:tc>
          <w:tcPr>
            <w:tcW w:w="1134" w:type="dxa"/>
            <w:tcBorders>
              <w:top w:val="nil"/>
              <w:left w:val="nil"/>
              <w:bottom w:val="single" w:color="auto" w:sz="4" w:space="0"/>
              <w:right w:val="single" w:color="auto" w:sz="4" w:space="0"/>
            </w:tcBorders>
            <w:vAlign w:val="center"/>
          </w:tcPr>
          <w:p w14:paraId="6E161E84">
            <w:pPr>
              <w:widowControl/>
              <w:spacing w:line="360" w:lineRule="auto"/>
              <w:jc w:val="center"/>
              <w:rPr>
                <w:rFonts w:asciiTheme="minorEastAsia" w:hAnsiTheme="minorEastAsia" w:eastAsiaTheme="minorEastAsia"/>
                <w:color w:val="000000"/>
                <w:sz w:val="24"/>
                <w:szCs w:val="24"/>
              </w:rPr>
            </w:pPr>
          </w:p>
        </w:tc>
        <w:tc>
          <w:tcPr>
            <w:tcW w:w="1276" w:type="dxa"/>
            <w:tcBorders>
              <w:top w:val="nil"/>
              <w:left w:val="single" w:color="auto" w:sz="4" w:space="0"/>
              <w:bottom w:val="single" w:color="auto" w:sz="4" w:space="0"/>
              <w:right w:val="single" w:color="auto" w:sz="4" w:space="0"/>
            </w:tcBorders>
            <w:vAlign w:val="center"/>
          </w:tcPr>
          <w:p w14:paraId="752C5ED6">
            <w:pPr>
              <w:widowControl/>
              <w:spacing w:line="360" w:lineRule="auto"/>
              <w:jc w:val="left"/>
              <w:rPr>
                <w:rFonts w:asciiTheme="minorEastAsia" w:hAnsiTheme="minorEastAsia" w:eastAsiaTheme="minorEastAsia"/>
                <w:color w:val="000000"/>
                <w:sz w:val="24"/>
                <w:szCs w:val="24"/>
              </w:rPr>
            </w:pPr>
          </w:p>
        </w:tc>
        <w:tc>
          <w:tcPr>
            <w:tcW w:w="2239" w:type="dxa"/>
            <w:tcBorders>
              <w:top w:val="nil"/>
              <w:left w:val="nil"/>
              <w:bottom w:val="single" w:color="auto" w:sz="4" w:space="0"/>
              <w:right w:val="single" w:color="auto" w:sz="4" w:space="0"/>
            </w:tcBorders>
            <w:vAlign w:val="center"/>
          </w:tcPr>
          <w:p w14:paraId="0B037E7C">
            <w:pPr>
              <w:widowControl/>
              <w:spacing w:line="360" w:lineRule="auto"/>
              <w:jc w:val="center"/>
              <w:rPr>
                <w:rFonts w:asciiTheme="minorEastAsia" w:hAnsiTheme="minorEastAsia" w:eastAsiaTheme="minorEastAsia"/>
                <w:color w:val="000000"/>
                <w:sz w:val="24"/>
                <w:szCs w:val="24"/>
              </w:rPr>
            </w:pPr>
          </w:p>
        </w:tc>
        <w:tc>
          <w:tcPr>
            <w:tcW w:w="1418" w:type="dxa"/>
            <w:tcBorders>
              <w:top w:val="nil"/>
              <w:left w:val="nil"/>
              <w:bottom w:val="single" w:color="auto" w:sz="4" w:space="0"/>
              <w:right w:val="single" w:color="auto" w:sz="4" w:space="0"/>
            </w:tcBorders>
            <w:vAlign w:val="center"/>
          </w:tcPr>
          <w:p w14:paraId="36F7776D">
            <w:pPr>
              <w:spacing w:line="360" w:lineRule="auto"/>
              <w:jc w:val="center"/>
              <w:rPr>
                <w:rFonts w:asciiTheme="minorEastAsia" w:hAnsiTheme="minorEastAsia" w:eastAsiaTheme="minorEastAsia"/>
                <w:color w:val="000000"/>
                <w:sz w:val="24"/>
                <w:szCs w:val="24"/>
              </w:rPr>
            </w:pPr>
          </w:p>
        </w:tc>
      </w:tr>
      <w:tr w14:paraId="0D6E68ED">
        <w:tblPrEx>
          <w:tblCellMar>
            <w:top w:w="0" w:type="dxa"/>
            <w:left w:w="108" w:type="dxa"/>
            <w:bottom w:w="0" w:type="dxa"/>
            <w:right w:w="108" w:type="dxa"/>
          </w:tblCellMar>
        </w:tblPrEx>
        <w:trPr>
          <w:trHeight w:val="1016" w:hRule="atLeast"/>
          <w:jc w:val="center"/>
        </w:trPr>
        <w:tc>
          <w:tcPr>
            <w:tcW w:w="1447" w:type="dxa"/>
            <w:tcBorders>
              <w:top w:val="nil"/>
              <w:left w:val="single" w:color="auto" w:sz="4" w:space="0"/>
              <w:bottom w:val="single" w:color="auto" w:sz="4" w:space="0"/>
              <w:right w:val="single" w:color="auto" w:sz="4" w:space="0"/>
            </w:tcBorders>
            <w:vAlign w:val="center"/>
          </w:tcPr>
          <w:p w14:paraId="0F388018">
            <w:pPr>
              <w:widowControl/>
              <w:spacing w:line="360" w:lineRule="auto"/>
              <w:jc w:val="center"/>
              <w:rPr>
                <w:rFonts w:asciiTheme="minorEastAsia" w:hAnsiTheme="minorEastAsia" w:eastAsiaTheme="minorEastAsia"/>
                <w:color w:val="000000"/>
                <w:sz w:val="24"/>
                <w:szCs w:val="24"/>
              </w:rPr>
            </w:pPr>
          </w:p>
        </w:tc>
        <w:tc>
          <w:tcPr>
            <w:tcW w:w="992" w:type="dxa"/>
            <w:tcBorders>
              <w:top w:val="nil"/>
              <w:left w:val="nil"/>
              <w:bottom w:val="single" w:color="auto" w:sz="4" w:space="0"/>
              <w:right w:val="single" w:color="auto" w:sz="4" w:space="0"/>
            </w:tcBorders>
            <w:vAlign w:val="center"/>
          </w:tcPr>
          <w:p w14:paraId="53B89216">
            <w:pPr>
              <w:widowControl/>
              <w:spacing w:line="360" w:lineRule="auto"/>
              <w:jc w:val="center"/>
              <w:rPr>
                <w:rFonts w:asciiTheme="minorEastAsia" w:hAnsiTheme="minorEastAsia" w:eastAsiaTheme="minorEastAsia"/>
                <w:color w:val="000000"/>
                <w:sz w:val="24"/>
                <w:szCs w:val="24"/>
              </w:rPr>
            </w:pPr>
          </w:p>
        </w:tc>
        <w:tc>
          <w:tcPr>
            <w:tcW w:w="1134" w:type="dxa"/>
            <w:tcBorders>
              <w:top w:val="nil"/>
              <w:left w:val="nil"/>
              <w:bottom w:val="single" w:color="auto" w:sz="4" w:space="0"/>
              <w:right w:val="single" w:color="auto" w:sz="4" w:space="0"/>
            </w:tcBorders>
            <w:vAlign w:val="center"/>
          </w:tcPr>
          <w:p w14:paraId="3EAEC942">
            <w:pPr>
              <w:widowControl/>
              <w:spacing w:line="360" w:lineRule="auto"/>
              <w:jc w:val="center"/>
              <w:rPr>
                <w:rFonts w:asciiTheme="minorEastAsia" w:hAnsiTheme="minorEastAsia" w:eastAsiaTheme="minorEastAsia"/>
                <w:color w:val="000000"/>
                <w:sz w:val="24"/>
                <w:szCs w:val="24"/>
              </w:rPr>
            </w:pPr>
          </w:p>
        </w:tc>
        <w:tc>
          <w:tcPr>
            <w:tcW w:w="1276" w:type="dxa"/>
            <w:tcBorders>
              <w:top w:val="nil"/>
              <w:left w:val="single" w:color="auto" w:sz="4" w:space="0"/>
              <w:bottom w:val="single" w:color="auto" w:sz="4" w:space="0"/>
              <w:right w:val="single" w:color="auto" w:sz="4" w:space="0"/>
            </w:tcBorders>
            <w:vAlign w:val="center"/>
          </w:tcPr>
          <w:p w14:paraId="1390BD7D">
            <w:pPr>
              <w:widowControl/>
              <w:spacing w:line="360" w:lineRule="auto"/>
              <w:jc w:val="left"/>
              <w:rPr>
                <w:rFonts w:asciiTheme="minorEastAsia" w:hAnsiTheme="minorEastAsia" w:eastAsiaTheme="minorEastAsia"/>
                <w:color w:val="000000"/>
                <w:sz w:val="24"/>
                <w:szCs w:val="24"/>
              </w:rPr>
            </w:pPr>
          </w:p>
        </w:tc>
        <w:tc>
          <w:tcPr>
            <w:tcW w:w="2239" w:type="dxa"/>
            <w:tcBorders>
              <w:top w:val="nil"/>
              <w:left w:val="nil"/>
              <w:bottom w:val="single" w:color="auto" w:sz="4" w:space="0"/>
              <w:right w:val="single" w:color="auto" w:sz="4" w:space="0"/>
            </w:tcBorders>
            <w:vAlign w:val="center"/>
          </w:tcPr>
          <w:p w14:paraId="53E36D8A">
            <w:pPr>
              <w:widowControl/>
              <w:spacing w:line="360" w:lineRule="auto"/>
              <w:jc w:val="center"/>
              <w:rPr>
                <w:rFonts w:asciiTheme="minorEastAsia" w:hAnsiTheme="minorEastAsia" w:eastAsiaTheme="minorEastAsia"/>
                <w:color w:val="000000"/>
                <w:sz w:val="24"/>
                <w:szCs w:val="24"/>
              </w:rPr>
            </w:pPr>
          </w:p>
        </w:tc>
        <w:tc>
          <w:tcPr>
            <w:tcW w:w="1418" w:type="dxa"/>
            <w:tcBorders>
              <w:top w:val="nil"/>
              <w:left w:val="nil"/>
              <w:bottom w:val="single" w:color="auto" w:sz="4" w:space="0"/>
              <w:right w:val="single" w:color="auto" w:sz="4" w:space="0"/>
            </w:tcBorders>
            <w:vAlign w:val="center"/>
          </w:tcPr>
          <w:p w14:paraId="3CEDE301">
            <w:pPr>
              <w:spacing w:line="360" w:lineRule="auto"/>
              <w:jc w:val="center"/>
              <w:rPr>
                <w:rFonts w:asciiTheme="minorEastAsia" w:hAnsiTheme="minorEastAsia" w:eastAsiaTheme="minorEastAsia"/>
                <w:color w:val="000000"/>
                <w:sz w:val="24"/>
                <w:szCs w:val="24"/>
              </w:rPr>
            </w:pPr>
          </w:p>
        </w:tc>
      </w:tr>
      <w:tr w14:paraId="1BBCB282">
        <w:tblPrEx>
          <w:tblCellMar>
            <w:top w:w="0" w:type="dxa"/>
            <w:left w:w="108" w:type="dxa"/>
            <w:bottom w:w="0" w:type="dxa"/>
            <w:right w:w="108" w:type="dxa"/>
          </w:tblCellMar>
        </w:tblPrEx>
        <w:trPr>
          <w:trHeight w:val="1037" w:hRule="atLeast"/>
          <w:jc w:val="center"/>
        </w:trPr>
        <w:tc>
          <w:tcPr>
            <w:tcW w:w="1447" w:type="dxa"/>
            <w:tcBorders>
              <w:top w:val="nil"/>
              <w:left w:val="single" w:color="auto" w:sz="4" w:space="0"/>
              <w:bottom w:val="single" w:color="auto" w:sz="4" w:space="0"/>
              <w:right w:val="single" w:color="auto" w:sz="4" w:space="0"/>
            </w:tcBorders>
            <w:vAlign w:val="center"/>
          </w:tcPr>
          <w:p w14:paraId="5919884C">
            <w:pPr>
              <w:widowControl/>
              <w:spacing w:line="360" w:lineRule="auto"/>
              <w:jc w:val="center"/>
              <w:rPr>
                <w:rFonts w:asciiTheme="minorEastAsia" w:hAnsiTheme="minorEastAsia" w:eastAsiaTheme="minorEastAsia"/>
                <w:color w:val="000000"/>
                <w:sz w:val="24"/>
                <w:szCs w:val="24"/>
              </w:rPr>
            </w:pPr>
          </w:p>
        </w:tc>
        <w:tc>
          <w:tcPr>
            <w:tcW w:w="992" w:type="dxa"/>
            <w:tcBorders>
              <w:top w:val="nil"/>
              <w:left w:val="nil"/>
              <w:bottom w:val="single" w:color="auto" w:sz="4" w:space="0"/>
              <w:right w:val="single" w:color="auto" w:sz="4" w:space="0"/>
            </w:tcBorders>
            <w:vAlign w:val="center"/>
          </w:tcPr>
          <w:p w14:paraId="31878C53">
            <w:pPr>
              <w:widowControl/>
              <w:spacing w:line="360" w:lineRule="auto"/>
              <w:jc w:val="center"/>
              <w:rPr>
                <w:rFonts w:asciiTheme="minorEastAsia" w:hAnsiTheme="minorEastAsia" w:eastAsiaTheme="minorEastAsia"/>
                <w:color w:val="000000"/>
                <w:sz w:val="24"/>
                <w:szCs w:val="24"/>
              </w:rPr>
            </w:pPr>
          </w:p>
        </w:tc>
        <w:tc>
          <w:tcPr>
            <w:tcW w:w="1134" w:type="dxa"/>
            <w:tcBorders>
              <w:top w:val="nil"/>
              <w:left w:val="nil"/>
              <w:bottom w:val="single" w:color="auto" w:sz="4" w:space="0"/>
              <w:right w:val="single" w:color="auto" w:sz="4" w:space="0"/>
            </w:tcBorders>
            <w:vAlign w:val="center"/>
          </w:tcPr>
          <w:p w14:paraId="2D9BBA7E">
            <w:pPr>
              <w:widowControl/>
              <w:spacing w:line="360" w:lineRule="auto"/>
              <w:jc w:val="center"/>
              <w:rPr>
                <w:rFonts w:asciiTheme="minorEastAsia" w:hAnsiTheme="minorEastAsia" w:eastAsiaTheme="minorEastAsia"/>
                <w:color w:val="000000"/>
                <w:sz w:val="24"/>
                <w:szCs w:val="24"/>
              </w:rPr>
            </w:pPr>
          </w:p>
        </w:tc>
        <w:tc>
          <w:tcPr>
            <w:tcW w:w="1276" w:type="dxa"/>
            <w:tcBorders>
              <w:top w:val="nil"/>
              <w:left w:val="single" w:color="auto" w:sz="4" w:space="0"/>
              <w:bottom w:val="single" w:color="auto" w:sz="4" w:space="0"/>
              <w:right w:val="single" w:color="auto" w:sz="4" w:space="0"/>
            </w:tcBorders>
            <w:vAlign w:val="center"/>
          </w:tcPr>
          <w:p w14:paraId="606E45A7">
            <w:pPr>
              <w:widowControl/>
              <w:spacing w:line="360" w:lineRule="auto"/>
              <w:jc w:val="left"/>
              <w:rPr>
                <w:rFonts w:asciiTheme="minorEastAsia" w:hAnsiTheme="minorEastAsia" w:eastAsiaTheme="minorEastAsia"/>
                <w:color w:val="000000"/>
                <w:sz w:val="24"/>
                <w:szCs w:val="24"/>
              </w:rPr>
            </w:pPr>
          </w:p>
        </w:tc>
        <w:tc>
          <w:tcPr>
            <w:tcW w:w="2239" w:type="dxa"/>
            <w:tcBorders>
              <w:top w:val="nil"/>
              <w:left w:val="nil"/>
              <w:bottom w:val="single" w:color="auto" w:sz="4" w:space="0"/>
              <w:right w:val="single" w:color="auto" w:sz="4" w:space="0"/>
            </w:tcBorders>
            <w:vAlign w:val="center"/>
          </w:tcPr>
          <w:p w14:paraId="31D03670">
            <w:pPr>
              <w:widowControl/>
              <w:spacing w:line="360" w:lineRule="auto"/>
              <w:jc w:val="center"/>
              <w:rPr>
                <w:rFonts w:asciiTheme="minorEastAsia" w:hAnsiTheme="minorEastAsia" w:eastAsiaTheme="minorEastAsia"/>
                <w:color w:val="000000"/>
                <w:sz w:val="24"/>
                <w:szCs w:val="24"/>
              </w:rPr>
            </w:pPr>
          </w:p>
        </w:tc>
        <w:tc>
          <w:tcPr>
            <w:tcW w:w="1418" w:type="dxa"/>
            <w:tcBorders>
              <w:top w:val="nil"/>
              <w:left w:val="nil"/>
              <w:bottom w:val="single" w:color="auto" w:sz="4" w:space="0"/>
              <w:right w:val="single" w:color="auto" w:sz="4" w:space="0"/>
            </w:tcBorders>
            <w:vAlign w:val="center"/>
          </w:tcPr>
          <w:p w14:paraId="548AF3E9">
            <w:pPr>
              <w:spacing w:line="360" w:lineRule="auto"/>
              <w:jc w:val="center"/>
              <w:rPr>
                <w:rFonts w:asciiTheme="minorEastAsia" w:hAnsiTheme="minorEastAsia" w:eastAsiaTheme="minorEastAsia"/>
                <w:color w:val="000000"/>
                <w:sz w:val="24"/>
                <w:szCs w:val="24"/>
              </w:rPr>
            </w:pPr>
          </w:p>
        </w:tc>
      </w:tr>
      <w:tr w14:paraId="6BB819F0">
        <w:tblPrEx>
          <w:tblCellMar>
            <w:top w:w="0" w:type="dxa"/>
            <w:left w:w="108" w:type="dxa"/>
            <w:bottom w:w="0" w:type="dxa"/>
            <w:right w:w="108" w:type="dxa"/>
          </w:tblCellMar>
        </w:tblPrEx>
        <w:trPr>
          <w:trHeight w:val="1365" w:hRule="atLeast"/>
          <w:jc w:val="center"/>
        </w:trPr>
        <w:tc>
          <w:tcPr>
            <w:tcW w:w="1447" w:type="dxa"/>
            <w:tcBorders>
              <w:top w:val="nil"/>
              <w:left w:val="single" w:color="auto" w:sz="4" w:space="0"/>
              <w:bottom w:val="single" w:color="auto" w:sz="4" w:space="0"/>
              <w:right w:val="single" w:color="auto" w:sz="4" w:space="0"/>
            </w:tcBorders>
            <w:vAlign w:val="center"/>
          </w:tcPr>
          <w:p w14:paraId="28B52575">
            <w:pPr>
              <w:widowControl/>
              <w:spacing w:line="360" w:lineRule="auto"/>
              <w:jc w:val="center"/>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合计</w:t>
            </w:r>
          </w:p>
        </w:tc>
        <w:tc>
          <w:tcPr>
            <w:tcW w:w="992" w:type="dxa"/>
            <w:tcBorders>
              <w:top w:val="nil"/>
              <w:left w:val="nil"/>
              <w:bottom w:val="single" w:color="auto" w:sz="4" w:space="0"/>
              <w:right w:val="single" w:color="auto" w:sz="4" w:space="0"/>
            </w:tcBorders>
            <w:vAlign w:val="center"/>
          </w:tcPr>
          <w:p w14:paraId="32FBD773">
            <w:pPr>
              <w:widowControl/>
              <w:spacing w:line="360" w:lineRule="auto"/>
              <w:jc w:val="center"/>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w:t>
            </w:r>
          </w:p>
        </w:tc>
        <w:tc>
          <w:tcPr>
            <w:tcW w:w="1134" w:type="dxa"/>
            <w:tcBorders>
              <w:top w:val="nil"/>
              <w:left w:val="nil"/>
              <w:bottom w:val="single" w:color="auto" w:sz="4" w:space="0"/>
              <w:right w:val="single" w:color="auto" w:sz="4" w:space="0"/>
            </w:tcBorders>
            <w:vAlign w:val="center"/>
          </w:tcPr>
          <w:p w14:paraId="36334A7B">
            <w:pPr>
              <w:widowControl/>
              <w:spacing w:line="360" w:lineRule="auto"/>
              <w:jc w:val="center"/>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w:t>
            </w:r>
          </w:p>
        </w:tc>
        <w:tc>
          <w:tcPr>
            <w:tcW w:w="1276" w:type="dxa"/>
            <w:tcBorders>
              <w:top w:val="nil"/>
              <w:left w:val="single" w:color="auto" w:sz="4" w:space="0"/>
              <w:bottom w:val="single" w:color="auto" w:sz="4" w:space="0"/>
              <w:right w:val="single" w:color="auto" w:sz="4" w:space="0"/>
            </w:tcBorders>
            <w:vAlign w:val="center"/>
          </w:tcPr>
          <w:p w14:paraId="53C4A516">
            <w:pPr>
              <w:widowControl/>
              <w:spacing w:line="360" w:lineRule="auto"/>
              <w:jc w:val="left"/>
              <w:rPr>
                <w:rFonts w:asciiTheme="minorEastAsia" w:hAnsiTheme="minorEastAsia" w:eastAsiaTheme="minorEastAsia"/>
                <w:color w:val="000000"/>
                <w:sz w:val="24"/>
                <w:szCs w:val="24"/>
              </w:rPr>
            </w:pPr>
          </w:p>
        </w:tc>
        <w:tc>
          <w:tcPr>
            <w:tcW w:w="2239" w:type="dxa"/>
            <w:tcBorders>
              <w:top w:val="nil"/>
              <w:left w:val="nil"/>
              <w:bottom w:val="single" w:color="auto" w:sz="4" w:space="0"/>
              <w:right w:val="single" w:color="auto" w:sz="4" w:space="0"/>
            </w:tcBorders>
            <w:vAlign w:val="center"/>
          </w:tcPr>
          <w:p w14:paraId="1AD27A51">
            <w:pPr>
              <w:widowControl/>
              <w:spacing w:line="360" w:lineRule="auto"/>
              <w:jc w:val="center"/>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w:t>
            </w:r>
          </w:p>
        </w:tc>
        <w:tc>
          <w:tcPr>
            <w:tcW w:w="1418" w:type="dxa"/>
            <w:tcBorders>
              <w:top w:val="nil"/>
              <w:left w:val="nil"/>
              <w:bottom w:val="single" w:color="auto" w:sz="4" w:space="0"/>
              <w:right w:val="single" w:color="auto" w:sz="4" w:space="0"/>
            </w:tcBorders>
            <w:vAlign w:val="center"/>
          </w:tcPr>
          <w:p w14:paraId="1A291792">
            <w:pPr>
              <w:spacing w:line="360" w:lineRule="auto"/>
              <w:jc w:val="center"/>
              <w:rPr>
                <w:rFonts w:asciiTheme="minorEastAsia" w:hAnsiTheme="minorEastAsia" w:eastAsiaTheme="minorEastAsia"/>
                <w:color w:val="000000"/>
                <w:sz w:val="24"/>
                <w:szCs w:val="24"/>
              </w:rPr>
            </w:pPr>
          </w:p>
        </w:tc>
      </w:tr>
    </w:tbl>
    <w:p w14:paraId="6282F61B">
      <w:pPr>
        <w:spacing w:line="360" w:lineRule="auto"/>
        <w:rPr>
          <w:rFonts w:asciiTheme="minorEastAsia" w:hAnsiTheme="minorEastAsia" w:eastAsiaTheme="minorEastAsia"/>
          <w:b/>
          <w:color w:val="000000" w:themeColor="text1"/>
          <w:sz w:val="24"/>
          <w:szCs w:val="24"/>
          <w14:textFill>
            <w14:solidFill>
              <w14:schemeClr w14:val="tx1"/>
            </w14:solidFill>
          </w14:textFill>
        </w:rPr>
      </w:pPr>
      <w:r>
        <w:rPr>
          <w:rFonts w:hint="eastAsia" w:asciiTheme="minorEastAsia" w:hAnsiTheme="minorEastAsia" w:eastAsiaTheme="minorEastAsia"/>
          <w:b/>
          <w:color w:val="000000" w:themeColor="text1"/>
          <w:sz w:val="24"/>
          <w:szCs w:val="24"/>
          <w14:textFill>
            <w14:solidFill>
              <w14:schemeClr w14:val="tx1"/>
            </w14:solidFill>
          </w14:textFill>
        </w:rPr>
        <w:t>产品补充约定（如有）：</w:t>
      </w:r>
      <w:r>
        <w:rPr>
          <w:rFonts w:hint="eastAsia" w:asciiTheme="minorEastAsia" w:hAnsiTheme="minorEastAsia" w:eastAsiaTheme="minorEastAsia"/>
          <w:b/>
          <w:color w:val="000000" w:themeColor="text1"/>
          <w:sz w:val="24"/>
          <w:szCs w:val="24"/>
          <w:u w:val="single"/>
          <w14:textFill>
            <w14:solidFill>
              <w14:schemeClr w14:val="tx1"/>
            </w14:solidFill>
          </w14:textFill>
        </w:rPr>
        <w:t xml:space="preserve">                                       </w:t>
      </w:r>
    </w:p>
    <w:p w14:paraId="3876EB5E">
      <w:pPr>
        <w:spacing w:line="360" w:lineRule="auto"/>
        <w:rPr>
          <w:rFonts w:asciiTheme="minorEastAsia" w:hAnsiTheme="minorEastAsia" w:eastAsiaTheme="minorEastAsia"/>
          <w:b/>
          <w:sz w:val="24"/>
          <w:szCs w:val="24"/>
        </w:rPr>
      </w:pPr>
      <w:r>
        <w:rPr>
          <w:rFonts w:hint="eastAsia" w:asciiTheme="minorEastAsia" w:hAnsiTheme="minorEastAsia" w:eastAsiaTheme="minorEastAsia"/>
          <w:b/>
          <w:color w:val="000000" w:themeColor="text1"/>
          <w:sz w:val="24"/>
          <w:szCs w:val="24"/>
          <w14:textFill>
            <w14:solidFill>
              <w14:schemeClr w14:val="tx1"/>
            </w14:solidFill>
          </w14:textFill>
        </w:rPr>
        <w:t>合同总价：￥</w:t>
      </w:r>
      <w:r>
        <w:rPr>
          <w:rFonts w:hint="eastAsia" w:asciiTheme="minorEastAsia" w:hAnsiTheme="minorEastAsia" w:eastAsiaTheme="minorEastAsia"/>
          <w:b/>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b/>
          <w:color w:val="000000" w:themeColor="text1"/>
          <w:sz w:val="24"/>
          <w:szCs w:val="24"/>
          <w14:textFill>
            <w14:solidFill>
              <w14:schemeClr w14:val="tx1"/>
            </w14:solidFill>
          </w14:textFill>
        </w:rPr>
        <w:t>（人民币大写：</w:t>
      </w:r>
      <w:r>
        <w:rPr>
          <w:rFonts w:hint="eastAsia" w:asciiTheme="minorEastAsia" w:hAnsiTheme="minorEastAsia" w:eastAsiaTheme="minorEastAsia"/>
          <w:b/>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b/>
          <w:color w:val="000000" w:themeColor="text1"/>
          <w:sz w:val="24"/>
          <w:szCs w:val="24"/>
          <w14:textFill>
            <w14:solidFill>
              <w14:schemeClr w14:val="tx1"/>
            </w14:solidFill>
          </w14:textFill>
        </w:rPr>
        <w:t>）</w:t>
      </w:r>
      <w:r>
        <w:rPr>
          <w:rFonts w:hint="eastAsia" w:asciiTheme="minorEastAsia" w:hAnsiTheme="minorEastAsia" w:eastAsiaTheme="minorEastAsia"/>
          <w:b/>
          <w:sz w:val="24"/>
          <w:szCs w:val="24"/>
        </w:rPr>
        <w:t>。</w:t>
      </w:r>
    </w:p>
    <w:p w14:paraId="23F7218C">
      <w:pPr>
        <w:spacing w:line="360" w:lineRule="auto"/>
        <w:rPr>
          <w:rFonts w:asciiTheme="minorEastAsia" w:hAnsiTheme="minorEastAsia" w:eastAsiaTheme="minorEastAsia"/>
          <w:sz w:val="24"/>
          <w:szCs w:val="24"/>
        </w:rPr>
      </w:pPr>
      <w:r>
        <w:rPr>
          <w:rFonts w:hint="eastAsia" w:asciiTheme="minorEastAsia" w:hAnsiTheme="minorEastAsia" w:eastAsiaTheme="minorEastAsia"/>
          <w:color w:val="000000" w:themeColor="text1"/>
          <w:sz w:val="24"/>
          <w:szCs w:val="24"/>
          <w14:textFill>
            <w14:solidFill>
              <w14:schemeClr w14:val="tx1"/>
            </w14:solidFill>
          </w14:textFill>
        </w:rPr>
        <w:t>合同总价中包含如下费用或对价（以本合同履行中实际发生为准）：产品出厂价、损耗、相关配件、税金、利润、商检费、运输费及保险费、装卸货费、成品保护</w:t>
      </w:r>
      <w:r>
        <w:rPr>
          <w:rFonts w:hint="eastAsia" w:asciiTheme="minorEastAsia" w:hAnsiTheme="minorEastAsia" w:eastAsiaTheme="minorEastAsia"/>
          <w:sz w:val="24"/>
          <w:szCs w:val="24"/>
        </w:rPr>
        <w:t>措施费、技术培训费、备品备件、指导安装费以及其他卖方向买方交付产品前需由卖方负担的费用。</w:t>
      </w:r>
    </w:p>
    <w:p w14:paraId="2FBAA1C7">
      <w:pPr>
        <w:spacing w:line="360" w:lineRule="auto"/>
        <w:rPr>
          <w:rFonts w:asciiTheme="minorEastAsia" w:hAnsiTheme="minorEastAsia" w:eastAsiaTheme="minorEastAsia"/>
          <w:color w:val="000000"/>
          <w:sz w:val="24"/>
          <w:szCs w:val="24"/>
        </w:rPr>
      </w:pPr>
    </w:p>
    <w:p w14:paraId="7DA12C86">
      <w:pPr>
        <w:numPr>
          <w:ilvl w:val="0"/>
          <w:numId w:val="1"/>
        </w:numPr>
        <w:spacing w:line="360" w:lineRule="auto"/>
        <w:rPr>
          <w:rFonts w:asciiTheme="minorEastAsia" w:hAnsiTheme="minorEastAsia" w:eastAsiaTheme="minorEastAsia"/>
          <w:b/>
          <w:color w:val="000000"/>
          <w:sz w:val="28"/>
          <w:szCs w:val="28"/>
        </w:rPr>
      </w:pPr>
      <w:r>
        <w:rPr>
          <w:rFonts w:hint="eastAsia" w:asciiTheme="minorEastAsia" w:hAnsiTheme="minorEastAsia" w:eastAsiaTheme="minorEastAsia"/>
          <w:b/>
          <w:color w:val="000000"/>
          <w:sz w:val="28"/>
          <w:szCs w:val="28"/>
        </w:rPr>
        <w:t>产品的质量、技术标准：</w:t>
      </w:r>
    </w:p>
    <w:p w14:paraId="30A6950C">
      <w:pPr>
        <w:spacing w:line="360" w:lineRule="auto"/>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产品的质量、技术必须同时符合下列标准，若多项标准之间不一致的，按照最有利于买方和/或质量、技术要求较高的标准执行；若多项标准不一致且难以确定执行标准时，买方有权选择按下列某一项或某几项标准执行：</w:t>
      </w:r>
    </w:p>
    <w:p w14:paraId="246B2D43">
      <w:pPr>
        <w:spacing w:line="360" w:lineRule="auto"/>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（1）双方当事人约定的质量、技术标准：</w:t>
      </w:r>
      <w:r>
        <w:rPr>
          <w:rFonts w:hint="eastAsia" w:asciiTheme="minorEastAsia" w:hAnsiTheme="minorEastAsia" w:eastAsiaTheme="minorEastAsia"/>
          <w:color w:val="000000"/>
          <w:sz w:val="24"/>
          <w:szCs w:val="24"/>
          <w:u w:val="single"/>
        </w:rPr>
        <w:t xml:space="preserve">                </w:t>
      </w:r>
      <w:r>
        <w:rPr>
          <w:rFonts w:hint="eastAsia" w:asciiTheme="minorEastAsia" w:hAnsiTheme="minorEastAsia" w:eastAsiaTheme="minorEastAsia"/>
          <w:color w:val="000000"/>
          <w:sz w:val="24"/>
          <w:szCs w:val="24"/>
        </w:rPr>
        <w:t>；</w:t>
      </w:r>
    </w:p>
    <w:p w14:paraId="0BFC74EA">
      <w:pPr>
        <w:spacing w:line="360" w:lineRule="auto"/>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（2）合同附件或产品说明书中载明的质量、技术标准；</w:t>
      </w:r>
    </w:p>
    <w:p w14:paraId="3E8CB2E6">
      <w:pPr>
        <w:spacing w:line="360" w:lineRule="auto"/>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（3）若本合同通过招投标方式订立，买卖双方在招标或投标文件中载明的质量、技术标准；</w:t>
      </w:r>
    </w:p>
    <w:p w14:paraId="1C7AD335">
      <w:pPr>
        <w:spacing w:line="360" w:lineRule="auto"/>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（4）若产品由第三方生产厂商生产，该第三方生产厂商向买方提供或向社会公众公示的质量、技术标准；</w:t>
      </w:r>
    </w:p>
    <w:p w14:paraId="23679F70">
      <w:pPr>
        <w:spacing w:line="360" w:lineRule="auto"/>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（5）卖方以其他方式明示或默示承诺的质量、技术标准；</w:t>
      </w:r>
    </w:p>
    <w:p w14:paraId="7525831B">
      <w:pPr>
        <w:spacing w:line="360" w:lineRule="auto"/>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（6）合同履行时国家有关部门颁布的最新的国家标准或行业协会颁布的最新的行业标准；</w:t>
      </w:r>
    </w:p>
    <w:p w14:paraId="17F21685">
      <w:pPr>
        <w:spacing w:line="360" w:lineRule="auto"/>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（7）该类产品</w:t>
      </w:r>
      <w:r>
        <w:rPr>
          <w:rFonts w:asciiTheme="minorEastAsia" w:hAnsiTheme="minorEastAsia" w:eastAsiaTheme="minorEastAsia"/>
          <w:color w:val="000000"/>
          <w:sz w:val="24"/>
          <w:szCs w:val="24"/>
        </w:rPr>
        <w:t>通常应当具备的质量、</w:t>
      </w:r>
      <w:r>
        <w:rPr>
          <w:rFonts w:hint="eastAsia" w:asciiTheme="minorEastAsia" w:hAnsiTheme="minorEastAsia" w:eastAsiaTheme="minorEastAsia"/>
          <w:color w:val="000000"/>
          <w:sz w:val="24"/>
          <w:szCs w:val="24"/>
        </w:rPr>
        <w:t>技术标准。</w:t>
      </w:r>
    </w:p>
    <w:p w14:paraId="715204B9">
      <w:pPr>
        <w:pStyle w:val="4"/>
        <w:spacing w:line="360" w:lineRule="auto"/>
        <w:ind w:left="0"/>
        <w:rPr>
          <w:rFonts w:asciiTheme="minorEastAsia" w:hAnsiTheme="minorEastAsia" w:eastAsiaTheme="minorEastAsia"/>
          <w:color w:val="000000"/>
          <w:szCs w:val="24"/>
        </w:rPr>
      </w:pPr>
    </w:p>
    <w:p w14:paraId="15E200AB">
      <w:pPr>
        <w:pStyle w:val="4"/>
        <w:numPr>
          <w:ilvl w:val="0"/>
          <w:numId w:val="1"/>
        </w:numPr>
        <w:spacing w:line="360" w:lineRule="auto"/>
        <w:ind w:left="0"/>
        <w:rPr>
          <w:rFonts w:asciiTheme="minorEastAsia" w:hAnsiTheme="minorEastAsia" w:eastAsiaTheme="minorEastAsia"/>
          <w:b/>
          <w:color w:val="000000"/>
          <w:sz w:val="28"/>
          <w:szCs w:val="28"/>
        </w:rPr>
      </w:pPr>
      <w:r>
        <w:rPr>
          <w:rFonts w:hint="eastAsia" w:asciiTheme="minorEastAsia" w:hAnsiTheme="minorEastAsia" w:eastAsiaTheme="minorEastAsia"/>
          <w:b/>
          <w:color w:val="000000"/>
          <w:sz w:val="28"/>
          <w:szCs w:val="28"/>
        </w:rPr>
        <w:t>交付、安装及验收：</w:t>
      </w:r>
    </w:p>
    <w:p w14:paraId="43B2E5C0">
      <w:pPr>
        <w:widowControl/>
        <w:spacing w:before="93" w:beforeLines="30" w:after="93" w:afterLines="30"/>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3.1 交付</w:t>
      </w:r>
    </w:p>
    <w:p w14:paraId="28051888">
      <w:pPr>
        <w:widowControl/>
        <w:spacing w:before="93" w:beforeLines="30" w:after="93" w:afterLines="30" w:line="360" w:lineRule="auto"/>
        <w:rPr>
          <w:rFonts w:ascii="Arial" w:hAnsi="Arial"/>
          <w:sz w:val="24"/>
          <w:szCs w:val="24"/>
        </w:rPr>
      </w:pPr>
      <w:r>
        <w:rPr>
          <w:rFonts w:hint="eastAsia" w:asciiTheme="minorEastAsia" w:hAnsiTheme="minorEastAsia" w:eastAsiaTheme="minorEastAsia"/>
          <w:color w:val="000000"/>
          <w:sz w:val="24"/>
          <w:szCs w:val="24"/>
        </w:rPr>
        <w:t>卖方</w:t>
      </w:r>
      <w:r>
        <w:rPr>
          <w:rFonts w:hint="eastAsia" w:asciiTheme="minorEastAsia" w:hAnsiTheme="minorEastAsia" w:eastAsiaTheme="minorEastAsia"/>
          <w:color w:val="000000"/>
          <w:sz w:val="24"/>
          <w:szCs w:val="24"/>
          <w:u w:val="single"/>
        </w:rPr>
        <w:t>应提前    天通知买方进行接货，</w:t>
      </w:r>
      <w:r>
        <w:rPr>
          <w:rFonts w:hint="eastAsia" w:asciiTheme="minorEastAsia" w:hAnsiTheme="minorEastAsia" w:eastAsiaTheme="minorEastAsia"/>
          <w:color w:val="000000"/>
          <w:sz w:val="24"/>
          <w:szCs w:val="24"/>
        </w:rPr>
        <w:t>应按本合同的约定及时将产品送达至交付地点并交付给买方或买方指定</w:t>
      </w:r>
      <w:r>
        <w:rPr>
          <w:rFonts w:asciiTheme="minorEastAsia" w:hAnsiTheme="minorEastAsia" w:eastAsiaTheme="minorEastAsia"/>
          <w:color w:val="000000"/>
          <w:sz w:val="24"/>
          <w:szCs w:val="24"/>
        </w:rPr>
        <w:t>的收货人</w:t>
      </w:r>
      <w:r>
        <w:rPr>
          <w:rFonts w:hint="eastAsia" w:asciiTheme="minorEastAsia" w:hAnsiTheme="minorEastAsia" w:eastAsiaTheme="minorEastAsia"/>
          <w:color w:val="000000"/>
          <w:sz w:val="24"/>
          <w:szCs w:val="24"/>
        </w:rPr>
        <w:t>。卖方应当将产品说明书、产品合格证书、保修单以及其他必要的单据和产品附件随同产品一并交付。</w:t>
      </w:r>
    </w:p>
    <w:p w14:paraId="54D26F4D">
      <w:pPr>
        <w:widowControl/>
        <w:spacing w:line="360" w:lineRule="auto"/>
        <w:rPr>
          <w:sz w:val="24"/>
          <w:szCs w:val="24"/>
        </w:rPr>
      </w:pPr>
      <w:r>
        <w:rPr>
          <w:rFonts w:hint="eastAsia"/>
          <w:sz w:val="24"/>
          <w:szCs w:val="24"/>
        </w:rPr>
        <w:t>收货人：</w:t>
      </w:r>
      <w:r>
        <w:rPr>
          <w:sz w:val="24"/>
          <w:szCs w:val="24"/>
        </w:rPr>
        <w:t>____________________________________</w:t>
      </w:r>
    </w:p>
    <w:p w14:paraId="18F5FF6C">
      <w:pPr>
        <w:pStyle w:val="4"/>
        <w:spacing w:line="360" w:lineRule="auto"/>
        <w:ind w:left="0"/>
        <w:rPr>
          <w:szCs w:val="24"/>
          <w:u w:val="single"/>
        </w:rPr>
      </w:pPr>
      <w:r>
        <w:rPr>
          <w:rFonts w:hint="eastAsia"/>
          <w:szCs w:val="24"/>
        </w:rPr>
        <w:t>电话：</w:t>
      </w:r>
      <w:r>
        <w:rPr>
          <w:szCs w:val="24"/>
        </w:rPr>
        <w:t>____________________________________</w:t>
      </w:r>
      <w:r>
        <w:rPr>
          <w:rFonts w:hint="eastAsia"/>
          <w:szCs w:val="24"/>
          <w:u w:val="single"/>
        </w:rPr>
        <w:t xml:space="preserve">  </w:t>
      </w:r>
    </w:p>
    <w:p w14:paraId="7E035066">
      <w:pPr>
        <w:pStyle w:val="4"/>
        <w:spacing w:line="360" w:lineRule="auto"/>
        <w:ind w:left="0"/>
        <w:rPr>
          <w:szCs w:val="24"/>
          <w:u w:val="single"/>
        </w:rPr>
      </w:pPr>
      <w:r>
        <w:rPr>
          <w:rFonts w:hint="eastAsia"/>
          <w:szCs w:val="24"/>
        </w:rPr>
        <w:t>传真：</w:t>
      </w:r>
      <w:r>
        <w:rPr>
          <w:szCs w:val="24"/>
        </w:rPr>
        <w:t>___________________________________</w:t>
      </w:r>
      <w:r>
        <w:rPr>
          <w:rFonts w:hint="eastAsia"/>
          <w:szCs w:val="24"/>
        </w:rPr>
        <w:t xml:space="preserve">  </w:t>
      </w:r>
    </w:p>
    <w:p w14:paraId="15D4657D">
      <w:pPr>
        <w:pStyle w:val="4"/>
        <w:spacing w:line="360" w:lineRule="auto"/>
        <w:ind w:left="0"/>
        <w:rPr>
          <w:rFonts w:asciiTheme="minorEastAsia" w:hAnsiTheme="minorEastAsia" w:eastAsiaTheme="minorEastAsia"/>
          <w:color w:val="000000"/>
          <w:szCs w:val="24"/>
        </w:rPr>
      </w:pPr>
      <w:r>
        <w:rPr>
          <w:rFonts w:hint="eastAsia"/>
          <w:szCs w:val="24"/>
        </w:rPr>
        <w:t>联系人：</w:t>
      </w:r>
      <w:r>
        <w:rPr>
          <w:szCs w:val="24"/>
        </w:rPr>
        <w:t>_____________________</w:t>
      </w:r>
      <w:r>
        <w:rPr>
          <w:rFonts w:hint="eastAsia"/>
          <w:szCs w:val="24"/>
          <w:u w:val="single"/>
        </w:rPr>
        <w:t xml:space="preserve">           </w:t>
      </w:r>
      <w:r>
        <w:rPr>
          <w:szCs w:val="24"/>
          <w:u w:val="single"/>
        </w:rPr>
        <w:t>_</w:t>
      </w:r>
    </w:p>
    <w:p w14:paraId="3359B2FE">
      <w:pPr>
        <w:pStyle w:val="4"/>
        <w:spacing w:line="360" w:lineRule="auto"/>
        <w:ind w:left="0"/>
        <w:rPr>
          <w:rFonts w:asciiTheme="minorEastAsia" w:hAnsiTheme="minorEastAsia" w:eastAsiaTheme="minorEastAsia"/>
          <w:color w:val="000000"/>
          <w:szCs w:val="24"/>
        </w:rPr>
      </w:pPr>
      <w:r>
        <w:rPr>
          <w:rFonts w:hint="eastAsia" w:asciiTheme="minorEastAsia" w:hAnsiTheme="minorEastAsia" w:eastAsiaTheme="minorEastAsia"/>
          <w:color w:val="000000"/>
          <w:szCs w:val="24"/>
        </w:rPr>
        <w:t>交付地点</w:t>
      </w:r>
      <w:r>
        <w:rPr>
          <w:rFonts w:asciiTheme="minorEastAsia" w:hAnsiTheme="minorEastAsia" w:eastAsiaTheme="minorEastAsia"/>
          <w:color w:val="000000"/>
          <w:szCs w:val="24"/>
        </w:rPr>
        <w:t>：</w:t>
      </w:r>
      <w:r>
        <w:rPr>
          <w:rFonts w:hint="eastAsia" w:asciiTheme="minorEastAsia" w:hAnsiTheme="minorEastAsia" w:eastAsiaTheme="minorEastAsia"/>
          <w:color w:val="000000"/>
          <w:szCs w:val="24"/>
          <w:u w:val="single"/>
        </w:rPr>
        <w:t xml:space="preserve">                               </w:t>
      </w:r>
    </w:p>
    <w:p w14:paraId="55C20577">
      <w:pPr>
        <w:pStyle w:val="4"/>
        <w:spacing w:line="360" w:lineRule="auto"/>
        <w:ind w:left="0"/>
        <w:rPr>
          <w:rFonts w:asciiTheme="minorEastAsia" w:hAnsiTheme="minorEastAsia" w:eastAsiaTheme="minorEastAsia"/>
          <w:color w:val="000000"/>
          <w:szCs w:val="24"/>
        </w:rPr>
      </w:pPr>
      <w:r>
        <w:rPr>
          <w:rFonts w:hint="eastAsia" w:asciiTheme="minorEastAsia" w:hAnsiTheme="minorEastAsia" w:eastAsiaTheme="minorEastAsia"/>
          <w:color w:val="000000"/>
          <w:szCs w:val="24"/>
        </w:rPr>
        <w:t>3.2 安装</w:t>
      </w:r>
    </w:p>
    <w:p w14:paraId="401E20B8">
      <w:pPr>
        <w:pStyle w:val="4"/>
        <w:spacing w:line="360" w:lineRule="auto"/>
        <w:ind w:left="0"/>
        <w:rPr>
          <w:rFonts w:asciiTheme="minorEastAsia" w:hAnsiTheme="minorEastAsia" w:eastAsiaTheme="minorEastAsia"/>
          <w:color w:val="000000"/>
          <w:szCs w:val="24"/>
        </w:rPr>
      </w:pPr>
      <w:r>
        <w:rPr>
          <w:rFonts w:hint="eastAsia" w:asciiTheme="minorEastAsia" w:hAnsiTheme="minorEastAsia" w:eastAsiaTheme="minorEastAsia"/>
          <w:color w:val="000000"/>
          <w:szCs w:val="24"/>
        </w:rPr>
        <w:t>若产品需要安装，卖方并应在现场或买方指定的地点或其他适宜安装的地点指导</w:t>
      </w:r>
      <w:r>
        <w:rPr>
          <w:rFonts w:asciiTheme="minorEastAsia" w:hAnsiTheme="minorEastAsia" w:eastAsiaTheme="minorEastAsia"/>
          <w:color w:val="000000"/>
          <w:szCs w:val="24"/>
        </w:rPr>
        <w:t>收货人</w:t>
      </w:r>
      <w:r>
        <w:rPr>
          <w:rFonts w:hint="eastAsia" w:asciiTheme="minorEastAsia" w:hAnsiTheme="minorEastAsia" w:eastAsiaTheme="minorEastAsia"/>
          <w:color w:val="000000"/>
          <w:szCs w:val="24"/>
        </w:rPr>
        <w:t>安装产品，对于大型设备或复杂系统的安装调试工作，卖方需派遣技术人员驻场指导</w:t>
      </w:r>
      <w:r>
        <w:rPr>
          <w:rFonts w:hint="eastAsia" w:asciiTheme="minorEastAsia" w:hAnsiTheme="minorEastAsia" w:eastAsiaTheme="minorEastAsia"/>
          <w:color w:val="000000"/>
          <w:sz w:val="21"/>
          <w:szCs w:val="24"/>
        </w:rPr>
        <w:t>，</w:t>
      </w:r>
      <w:r>
        <w:rPr>
          <w:rFonts w:hint="eastAsia" w:asciiTheme="minorEastAsia" w:hAnsiTheme="minorEastAsia" w:eastAsiaTheme="minorEastAsia"/>
          <w:color w:val="000000"/>
          <w:szCs w:val="24"/>
        </w:rPr>
        <w:t>确保产品正确地安装并能正常使用。卖方应向</w:t>
      </w:r>
      <w:r>
        <w:rPr>
          <w:rFonts w:asciiTheme="minorEastAsia" w:hAnsiTheme="minorEastAsia" w:eastAsiaTheme="minorEastAsia"/>
          <w:color w:val="000000"/>
          <w:szCs w:val="24"/>
        </w:rPr>
        <w:t>收货人</w:t>
      </w:r>
      <w:r>
        <w:rPr>
          <w:rFonts w:hint="eastAsia" w:asciiTheme="minorEastAsia" w:hAnsiTheme="minorEastAsia" w:eastAsiaTheme="minorEastAsia"/>
          <w:color w:val="000000"/>
          <w:szCs w:val="24"/>
        </w:rPr>
        <w:t>就产品的使用、保养和维修提供必要的指导意见，以尽可能确保产品在安装后能持续地处于适宜使用的状态。</w:t>
      </w:r>
    </w:p>
    <w:p w14:paraId="7873E506">
      <w:pPr>
        <w:pStyle w:val="4"/>
        <w:spacing w:line="360" w:lineRule="auto"/>
        <w:ind w:left="0"/>
        <w:rPr>
          <w:rFonts w:asciiTheme="minorEastAsia" w:hAnsiTheme="minorEastAsia" w:eastAsiaTheme="minorEastAsia"/>
          <w:color w:val="000000"/>
          <w:szCs w:val="24"/>
        </w:rPr>
      </w:pPr>
      <w:r>
        <w:rPr>
          <w:rFonts w:hint="eastAsia" w:asciiTheme="minorEastAsia" w:hAnsiTheme="minorEastAsia" w:eastAsiaTheme="minorEastAsia"/>
          <w:color w:val="000000"/>
          <w:szCs w:val="24"/>
        </w:rPr>
        <w:t>3.3 验收</w:t>
      </w:r>
    </w:p>
    <w:p w14:paraId="3CE978D0">
      <w:pPr>
        <w:pStyle w:val="4"/>
        <w:spacing w:line="360" w:lineRule="auto"/>
        <w:ind w:left="0"/>
        <w:rPr>
          <w:rFonts w:hint="eastAsia" w:asciiTheme="minorEastAsia" w:hAnsiTheme="minorEastAsia" w:eastAsiaTheme="minorEastAsia"/>
          <w:color w:val="000000"/>
          <w:szCs w:val="24"/>
        </w:rPr>
      </w:pPr>
      <w:r>
        <w:rPr>
          <w:rFonts w:hint="eastAsia" w:asciiTheme="minorEastAsia" w:hAnsiTheme="minorEastAsia" w:eastAsiaTheme="minorEastAsia"/>
          <w:color w:val="000000"/>
          <w:szCs w:val="24"/>
        </w:rPr>
        <w:t>产品交付后</w:t>
      </w:r>
      <w:r>
        <w:rPr>
          <w:rFonts w:hint="eastAsia" w:asciiTheme="minorEastAsia" w:hAnsiTheme="minorEastAsia" w:eastAsiaTheme="minorEastAsia"/>
          <w:color w:val="000000"/>
          <w:szCs w:val="24"/>
          <w:u w:val="single"/>
        </w:rPr>
        <w:t xml:space="preserve">  </w:t>
      </w:r>
      <w:r>
        <w:rPr>
          <w:rFonts w:hint="eastAsia" w:asciiTheme="minorEastAsia" w:hAnsiTheme="minorEastAsia" w:eastAsiaTheme="minorEastAsia"/>
          <w:color w:val="000000"/>
          <w:szCs w:val="24"/>
        </w:rPr>
        <w:t>日内，买方或买方指定的收货人对产品的种类、规格、数量、包装、表面瑕疵进行检验，若产品数量较多，买方或买方指定的收货人也可随机抽验。对于不符合本合同约定的种类、规格的产品，或包装严重破损，或存在严重表面瑕疵的产品，均视为不合格产品。对于不合格产品，买方或买方指定的收货人可以拒绝接收。若不合格产品的比例（若随机抽验的，则为随机抽验的不合格产品比例）达到</w:t>
      </w:r>
      <w:r>
        <w:rPr>
          <w:rFonts w:hint="eastAsia" w:asciiTheme="minorEastAsia" w:hAnsiTheme="minorEastAsia" w:eastAsiaTheme="minorEastAsia"/>
          <w:color w:val="000000"/>
          <w:szCs w:val="24"/>
          <w:u w:val="single"/>
        </w:rPr>
        <w:t xml:space="preserve">     </w:t>
      </w:r>
      <w:r>
        <w:rPr>
          <w:rFonts w:hint="eastAsia" w:asciiTheme="minorEastAsia" w:hAnsiTheme="minorEastAsia" w:eastAsiaTheme="minorEastAsia"/>
          <w:color w:val="000000"/>
          <w:szCs w:val="24"/>
        </w:rPr>
        <w:t>%的，买方或买方指定的收货人有权选择拒绝接收不合格产品或拒绝接收该次交付的全部产品。</w:t>
      </w:r>
    </w:p>
    <w:p w14:paraId="23A9AC83">
      <w:pPr>
        <w:pStyle w:val="4"/>
        <w:spacing w:line="360" w:lineRule="auto"/>
        <w:ind w:left="0"/>
        <w:rPr>
          <w:rFonts w:asciiTheme="minorEastAsia" w:hAnsiTheme="minorEastAsia" w:eastAsiaTheme="minorEastAsia"/>
          <w:color w:val="000000"/>
          <w:szCs w:val="24"/>
        </w:rPr>
      </w:pPr>
      <w:r>
        <w:rPr>
          <w:rFonts w:hint="eastAsia" w:asciiTheme="minorEastAsia" w:hAnsiTheme="minorEastAsia" w:eastAsiaTheme="minorEastAsia"/>
          <w:color w:val="000000"/>
          <w:szCs w:val="24"/>
        </w:rPr>
        <w:t>产品安装调试后</w:t>
      </w:r>
      <w:r>
        <w:rPr>
          <w:rFonts w:hint="eastAsia" w:asciiTheme="minorEastAsia" w:hAnsiTheme="minorEastAsia" w:eastAsiaTheme="minorEastAsia"/>
          <w:color w:val="000000"/>
          <w:szCs w:val="24"/>
          <w:u w:val="single"/>
        </w:rPr>
        <w:t xml:space="preserve">   </w:t>
      </w:r>
      <w:r>
        <w:rPr>
          <w:rFonts w:hint="eastAsia" w:asciiTheme="minorEastAsia" w:hAnsiTheme="minorEastAsia" w:eastAsiaTheme="minorEastAsia"/>
          <w:color w:val="000000"/>
          <w:szCs w:val="24"/>
        </w:rPr>
        <w:t>日内，买方有权对质量问题提出异议。买方提出质量异议的，卖方应在  日内作出答复，逾期未答复则视为卖方认可买方提出的质量异议。对于存在质量问题的产品，买方有权退货退款，卖方应在买方指定时间内予以更换，并承担由此给买方造成的一切损失。</w:t>
      </w:r>
    </w:p>
    <w:p w14:paraId="10903C60">
      <w:pPr>
        <w:pStyle w:val="4"/>
        <w:spacing w:line="360" w:lineRule="auto"/>
        <w:ind w:left="0"/>
        <w:rPr>
          <w:rFonts w:asciiTheme="minorEastAsia" w:hAnsiTheme="minorEastAsia" w:eastAsiaTheme="minorEastAsia"/>
          <w:color w:val="000000"/>
          <w:szCs w:val="24"/>
        </w:rPr>
      </w:pPr>
      <w:r>
        <w:rPr>
          <w:rFonts w:hint="eastAsia" w:asciiTheme="minorEastAsia" w:hAnsiTheme="minorEastAsia" w:eastAsiaTheme="minorEastAsia"/>
          <w:color w:val="000000"/>
          <w:szCs w:val="24"/>
        </w:rPr>
        <w:t>产品验收合格后，产品正式由卖方交付给买方，产品的所有权及风险负担也转移给买方。</w:t>
      </w:r>
    </w:p>
    <w:p w14:paraId="484839B5">
      <w:pPr>
        <w:pStyle w:val="4"/>
        <w:spacing w:line="360" w:lineRule="auto"/>
        <w:ind w:left="0"/>
        <w:rPr>
          <w:rFonts w:asciiTheme="minorEastAsia" w:hAnsiTheme="minorEastAsia" w:eastAsiaTheme="minorEastAsia"/>
          <w:color w:val="000000"/>
          <w:szCs w:val="24"/>
        </w:rPr>
      </w:pPr>
    </w:p>
    <w:p w14:paraId="45DB687B">
      <w:pPr>
        <w:pStyle w:val="4"/>
        <w:numPr>
          <w:ilvl w:val="0"/>
          <w:numId w:val="1"/>
        </w:numPr>
        <w:spacing w:line="360" w:lineRule="auto"/>
        <w:ind w:left="0"/>
        <w:rPr>
          <w:rFonts w:asciiTheme="minorEastAsia" w:hAnsiTheme="minorEastAsia" w:eastAsiaTheme="minorEastAsia"/>
          <w:b/>
          <w:color w:val="000000"/>
          <w:sz w:val="28"/>
          <w:szCs w:val="28"/>
        </w:rPr>
      </w:pPr>
      <w:r>
        <w:rPr>
          <w:rFonts w:hint="eastAsia" w:asciiTheme="minorEastAsia" w:hAnsiTheme="minorEastAsia" w:eastAsiaTheme="minorEastAsia"/>
          <w:b/>
          <w:color w:val="000000"/>
          <w:sz w:val="28"/>
          <w:szCs w:val="28"/>
        </w:rPr>
        <w:t>交付期限</w:t>
      </w:r>
    </w:p>
    <w:p w14:paraId="2990E72D">
      <w:pPr>
        <w:pStyle w:val="4"/>
        <w:spacing w:line="360" w:lineRule="auto"/>
        <w:ind w:left="0"/>
        <w:rPr>
          <w:rFonts w:asciiTheme="minorEastAsia" w:hAnsiTheme="minorEastAsia" w:eastAsiaTheme="minorEastAsia"/>
          <w:color w:val="000000"/>
          <w:szCs w:val="24"/>
        </w:rPr>
      </w:pPr>
      <w:r>
        <w:rPr>
          <w:rFonts w:hint="eastAsia" w:asciiTheme="minorEastAsia" w:hAnsiTheme="minorEastAsia" w:eastAsiaTheme="minorEastAsia"/>
          <w:color w:val="000000"/>
          <w:szCs w:val="24"/>
        </w:rPr>
        <w:t>卖方应当按如下第</w:t>
      </w:r>
      <w:r>
        <w:rPr>
          <w:rFonts w:hint="eastAsia" w:asciiTheme="minorEastAsia" w:hAnsiTheme="minorEastAsia" w:eastAsiaTheme="minorEastAsia"/>
          <w:color w:val="000000"/>
          <w:szCs w:val="24"/>
          <w:u w:val="single"/>
        </w:rPr>
        <w:t xml:space="preserve">   </w:t>
      </w:r>
      <w:r>
        <w:rPr>
          <w:rFonts w:hint="eastAsia" w:asciiTheme="minorEastAsia" w:hAnsiTheme="minorEastAsia" w:eastAsiaTheme="minorEastAsia"/>
          <w:color w:val="000000"/>
          <w:szCs w:val="24"/>
        </w:rPr>
        <w:t>项约定的日期交付产品：</w:t>
      </w:r>
    </w:p>
    <w:p w14:paraId="5510C97A">
      <w:pPr>
        <w:pStyle w:val="4"/>
        <w:spacing w:line="360" w:lineRule="auto"/>
        <w:ind w:left="0"/>
        <w:rPr>
          <w:rFonts w:asciiTheme="minorEastAsia" w:hAnsiTheme="minorEastAsia" w:eastAsiaTheme="minorEastAsia"/>
          <w:color w:val="000000"/>
          <w:szCs w:val="24"/>
        </w:rPr>
      </w:pPr>
      <w:r>
        <w:rPr>
          <w:rFonts w:hint="eastAsia" w:asciiTheme="minorEastAsia" w:hAnsiTheme="minorEastAsia" w:eastAsiaTheme="minorEastAsia"/>
          <w:color w:val="000000"/>
          <w:szCs w:val="24"/>
        </w:rPr>
        <w:t>（1）</w:t>
      </w:r>
      <w:r>
        <w:rPr>
          <w:rFonts w:asciiTheme="minorEastAsia" w:hAnsiTheme="minorEastAsia" w:eastAsiaTheme="minorEastAsia"/>
          <w:color w:val="000000"/>
          <w:szCs w:val="24"/>
        </w:rPr>
        <w:t>本合同生效后</w:t>
      </w:r>
      <w:r>
        <w:rPr>
          <w:rFonts w:hint="eastAsia" w:asciiTheme="minorEastAsia" w:hAnsiTheme="minorEastAsia" w:eastAsiaTheme="minorEastAsia"/>
          <w:color w:val="000000"/>
          <w:szCs w:val="24"/>
          <w:u w:val="single"/>
        </w:rPr>
        <w:t xml:space="preserve">       </w:t>
      </w:r>
      <w:r>
        <w:rPr>
          <w:rFonts w:hint="eastAsia" w:asciiTheme="minorEastAsia" w:hAnsiTheme="minorEastAsia" w:eastAsiaTheme="minorEastAsia"/>
          <w:color w:val="000000"/>
          <w:szCs w:val="24"/>
        </w:rPr>
        <w:t>日</w:t>
      </w:r>
      <w:r>
        <w:rPr>
          <w:rFonts w:asciiTheme="minorEastAsia" w:hAnsiTheme="minorEastAsia" w:eastAsiaTheme="minorEastAsia"/>
          <w:color w:val="000000"/>
          <w:szCs w:val="24"/>
        </w:rPr>
        <w:t>内交付</w:t>
      </w:r>
      <w:r>
        <w:rPr>
          <w:rFonts w:hint="eastAsia" w:asciiTheme="minorEastAsia" w:hAnsiTheme="minorEastAsia" w:eastAsiaTheme="minorEastAsia"/>
          <w:color w:val="000000"/>
          <w:szCs w:val="24"/>
        </w:rPr>
        <w:t>；</w:t>
      </w:r>
    </w:p>
    <w:p w14:paraId="489BDD85">
      <w:pPr>
        <w:pStyle w:val="4"/>
        <w:spacing w:line="360" w:lineRule="auto"/>
        <w:ind w:left="0"/>
        <w:rPr>
          <w:rFonts w:asciiTheme="minorEastAsia" w:hAnsiTheme="minorEastAsia" w:eastAsiaTheme="minorEastAsia"/>
          <w:color w:val="000000"/>
          <w:szCs w:val="24"/>
        </w:rPr>
      </w:pPr>
      <w:r>
        <w:rPr>
          <w:rFonts w:hint="eastAsia" w:asciiTheme="minorEastAsia" w:hAnsiTheme="minorEastAsia" w:eastAsiaTheme="minorEastAsia"/>
          <w:color w:val="000000"/>
          <w:szCs w:val="24"/>
        </w:rPr>
        <w:t>（2）买方支付首付款后</w:t>
      </w:r>
      <w:r>
        <w:rPr>
          <w:rFonts w:hint="eastAsia" w:asciiTheme="minorEastAsia" w:hAnsiTheme="minorEastAsia" w:eastAsiaTheme="minorEastAsia"/>
          <w:color w:val="000000"/>
          <w:szCs w:val="24"/>
          <w:u w:val="single"/>
        </w:rPr>
        <w:t xml:space="preserve">       </w:t>
      </w:r>
      <w:r>
        <w:rPr>
          <w:rFonts w:hint="eastAsia" w:asciiTheme="minorEastAsia" w:hAnsiTheme="minorEastAsia" w:eastAsiaTheme="minorEastAsia"/>
          <w:color w:val="000000"/>
          <w:szCs w:val="24"/>
        </w:rPr>
        <w:t>日</w:t>
      </w:r>
      <w:r>
        <w:rPr>
          <w:rFonts w:asciiTheme="minorEastAsia" w:hAnsiTheme="minorEastAsia" w:eastAsiaTheme="minorEastAsia"/>
          <w:color w:val="000000"/>
          <w:szCs w:val="24"/>
        </w:rPr>
        <w:t>内交付</w:t>
      </w:r>
      <w:r>
        <w:rPr>
          <w:rFonts w:hint="eastAsia" w:asciiTheme="minorEastAsia" w:hAnsiTheme="minorEastAsia" w:eastAsiaTheme="minorEastAsia"/>
          <w:color w:val="000000"/>
          <w:szCs w:val="24"/>
        </w:rPr>
        <w:t>；</w:t>
      </w:r>
    </w:p>
    <w:p w14:paraId="069E266B">
      <w:pPr>
        <w:pStyle w:val="4"/>
        <w:spacing w:line="360" w:lineRule="auto"/>
        <w:ind w:left="0"/>
        <w:rPr>
          <w:rFonts w:asciiTheme="minorEastAsia" w:hAnsiTheme="minorEastAsia" w:eastAsiaTheme="minorEastAsia"/>
          <w:color w:val="000000"/>
          <w:szCs w:val="24"/>
        </w:rPr>
      </w:pPr>
      <w:r>
        <w:rPr>
          <w:rFonts w:hint="eastAsia" w:asciiTheme="minorEastAsia" w:hAnsiTheme="minorEastAsia" w:eastAsiaTheme="minorEastAsia"/>
          <w:color w:val="000000"/>
          <w:szCs w:val="24"/>
        </w:rPr>
        <w:t>（3）在</w:t>
      </w:r>
      <w:r>
        <w:rPr>
          <w:rFonts w:hint="eastAsia" w:asciiTheme="minorEastAsia" w:hAnsiTheme="minorEastAsia" w:eastAsiaTheme="minorEastAsia"/>
          <w:color w:val="000000"/>
          <w:szCs w:val="24"/>
          <w:u w:val="single"/>
        </w:rPr>
        <w:t xml:space="preserve">      </w:t>
      </w:r>
      <w:r>
        <w:rPr>
          <w:rFonts w:hint="eastAsia" w:asciiTheme="minorEastAsia" w:hAnsiTheme="minorEastAsia" w:eastAsiaTheme="minorEastAsia"/>
          <w:color w:val="000000"/>
          <w:szCs w:val="24"/>
        </w:rPr>
        <w:t>年</w:t>
      </w:r>
      <w:r>
        <w:rPr>
          <w:rFonts w:hint="eastAsia" w:asciiTheme="minorEastAsia" w:hAnsiTheme="minorEastAsia" w:eastAsiaTheme="minorEastAsia"/>
          <w:color w:val="000000"/>
          <w:szCs w:val="24"/>
          <w:u w:val="single"/>
        </w:rPr>
        <w:t xml:space="preserve">     </w:t>
      </w:r>
      <w:r>
        <w:rPr>
          <w:rFonts w:hint="eastAsia" w:asciiTheme="minorEastAsia" w:hAnsiTheme="minorEastAsia" w:eastAsiaTheme="minorEastAsia"/>
          <w:color w:val="000000"/>
          <w:szCs w:val="24"/>
        </w:rPr>
        <w:t>月</w:t>
      </w:r>
      <w:r>
        <w:rPr>
          <w:rFonts w:hint="eastAsia" w:asciiTheme="minorEastAsia" w:hAnsiTheme="minorEastAsia" w:eastAsiaTheme="minorEastAsia"/>
          <w:color w:val="000000"/>
          <w:szCs w:val="24"/>
          <w:u w:val="single"/>
        </w:rPr>
        <w:t xml:space="preserve">     </w:t>
      </w:r>
      <w:r>
        <w:rPr>
          <w:rFonts w:hint="eastAsia" w:asciiTheme="minorEastAsia" w:hAnsiTheme="minorEastAsia" w:eastAsiaTheme="minorEastAsia"/>
          <w:color w:val="000000"/>
          <w:szCs w:val="24"/>
        </w:rPr>
        <w:t>日交付；</w:t>
      </w:r>
    </w:p>
    <w:p w14:paraId="531691BC">
      <w:pPr>
        <w:pStyle w:val="4"/>
        <w:spacing w:line="360" w:lineRule="auto"/>
        <w:ind w:left="0"/>
        <w:rPr>
          <w:rFonts w:asciiTheme="minorEastAsia" w:hAnsiTheme="minorEastAsia" w:eastAsiaTheme="minorEastAsia"/>
          <w:color w:val="000000"/>
          <w:szCs w:val="24"/>
        </w:rPr>
      </w:pPr>
      <w:r>
        <w:rPr>
          <w:rFonts w:hint="eastAsia" w:asciiTheme="minorEastAsia" w:hAnsiTheme="minorEastAsia" w:eastAsiaTheme="minorEastAsia"/>
          <w:color w:val="000000"/>
          <w:szCs w:val="24"/>
        </w:rPr>
        <w:t>（4）其他交付期限的约定：</w:t>
      </w:r>
      <w:r>
        <w:rPr>
          <w:rFonts w:hint="eastAsia" w:asciiTheme="minorEastAsia" w:hAnsiTheme="minorEastAsia" w:eastAsiaTheme="minorEastAsia"/>
          <w:color w:val="000000"/>
          <w:szCs w:val="24"/>
          <w:u w:val="single"/>
        </w:rPr>
        <w:t xml:space="preserve">                               </w:t>
      </w:r>
      <w:r>
        <w:rPr>
          <w:rFonts w:hint="eastAsia" w:asciiTheme="minorEastAsia" w:hAnsiTheme="minorEastAsia" w:eastAsiaTheme="minorEastAsia"/>
          <w:color w:val="000000"/>
          <w:szCs w:val="24"/>
        </w:rPr>
        <w:t>。</w:t>
      </w:r>
    </w:p>
    <w:p w14:paraId="166FD636">
      <w:pPr>
        <w:pStyle w:val="4"/>
        <w:spacing w:line="360" w:lineRule="auto"/>
        <w:ind w:left="0"/>
        <w:rPr>
          <w:rFonts w:asciiTheme="minorEastAsia" w:hAnsiTheme="minorEastAsia" w:eastAsiaTheme="minorEastAsia"/>
          <w:color w:val="000000"/>
          <w:szCs w:val="24"/>
        </w:rPr>
      </w:pPr>
    </w:p>
    <w:p w14:paraId="7E23F364">
      <w:pPr>
        <w:pStyle w:val="4"/>
        <w:numPr>
          <w:ilvl w:val="0"/>
          <w:numId w:val="1"/>
        </w:numPr>
        <w:spacing w:line="360" w:lineRule="auto"/>
        <w:ind w:left="0"/>
        <w:rPr>
          <w:rFonts w:asciiTheme="minorEastAsia" w:hAnsiTheme="minorEastAsia" w:eastAsiaTheme="minorEastAsia"/>
          <w:b/>
          <w:color w:val="000000"/>
          <w:sz w:val="28"/>
          <w:szCs w:val="28"/>
        </w:rPr>
      </w:pPr>
      <w:r>
        <w:rPr>
          <w:rFonts w:hint="eastAsia" w:asciiTheme="minorEastAsia" w:hAnsiTheme="minorEastAsia" w:eastAsiaTheme="minorEastAsia"/>
          <w:b/>
          <w:color w:val="000000"/>
          <w:sz w:val="28"/>
          <w:szCs w:val="28"/>
        </w:rPr>
        <w:t>运输、装卸和包装</w:t>
      </w:r>
    </w:p>
    <w:p w14:paraId="7123518B">
      <w:pPr>
        <w:pStyle w:val="4"/>
        <w:spacing w:line="360" w:lineRule="auto"/>
        <w:ind w:left="0"/>
        <w:rPr>
          <w:rFonts w:asciiTheme="minorEastAsia" w:hAnsiTheme="minorEastAsia" w:eastAsiaTheme="minorEastAsia"/>
          <w:color w:val="000000"/>
          <w:szCs w:val="24"/>
        </w:rPr>
      </w:pPr>
      <w:r>
        <w:rPr>
          <w:rFonts w:hint="eastAsia" w:asciiTheme="minorEastAsia" w:hAnsiTheme="minorEastAsia" w:eastAsiaTheme="minorEastAsia"/>
          <w:color w:val="000000"/>
          <w:szCs w:val="24"/>
        </w:rPr>
        <w:t>5.1货物在装卸、运输途中发生损坏或短缺，由卖方向买方负责。</w:t>
      </w:r>
    </w:p>
    <w:p w14:paraId="0C677DCA">
      <w:pPr>
        <w:pStyle w:val="4"/>
        <w:spacing w:line="360" w:lineRule="auto"/>
        <w:ind w:left="0"/>
        <w:rPr>
          <w:rFonts w:asciiTheme="minorEastAsia" w:hAnsiTheme="minorEastAsia" w:eastAsiaTheme="minorEastAsia"/>
          <w:color w:val="000000"/>
          <w:szCs w:val="24"/>
        </w:rPr>
      </w:pPr>
      <w:r>
        <w:rPr>
          <w:rFonts w:hint="eastAsia" w:asciiTheme="minorEastAsia" w:hAnsiTheme="minorEastAsia" w:eastAsiaTheme="minorEastAsia"/>
          <w:color w:val="000000"/>
          <w:szCs w:val="24"/>
        </w:rPr>
        <w:t>5.2卖方保证在确认货物因装卸、运输中发生损坏或短缺后，尽快给予调换、修复和补齐缺件，至买方认可为止。不管其造成的原因如何，也不能以办理向第三方的索赔为由而拖延。</w:t>
      </w:r>
    </w:p>
    <w:p w14:paraId="0D5BD853">
      <w:pPr>
        <w:pStyle w:val="4"/>
        <w:spacing w:line="360" w:lineRule="auto"/>
        <w:ind w:left="0"/>
        <w:rPr>
          <w:rFonts w:asciiTheme="minorEastAsia" w:hAnsiTheme="minorEastAsia" w:eastAsiaTheme="minorEastAsia"/>
          <w:color w:val="000000"/>
          <w:szCs w:val="24"/>
        </w:rPr>
      </w:pPr>
      <w:r>
        <w:rPr>
          <w:rFonts w:hint="eastAsia" w:asciiTheme="minorEastAsia" w:hAnsiTheme="minorEastAsia" w:eastAsiaTheme="minorEastAsia"/>
          <w:color w:val="000000"/>
          <w:szCs w:val="24"/>
        </w:rPr>
        <w:t>5.3货物包装必须符合本合同的约定，若本合同未明确约定的，可按照本合同第2条对于质量、技术标准的确定方式确定包装标准。</w:t>
      </w:r>
    </w:p>
    <w:p w14:paraId="7C13C7A8">
      <w:pPr>
        <w:pStyle w:val="4"/>
        <w:spacing w:line="360" w:lineRule="auto"/>
        <w:ind w:left="0"/>
        <w:rPr>
          <w:rFonts w:asciiTheme="minorEastAsia" w:hAnsiTheme="minorEastAsia" w:eastAsiaTheme="minorEastAsia"/>
          <w:color w:val="000000"/>
          <w:szCs w:val="24"/>
        </w:rPr>
      </w:pPr>
    </w:p>
    <w:p w14:paraId="52656E0C">
      <w:pPr>
        <w:pStyle w:val="4"/>
        <w:numPr>
          <w:ilvl w:val="0"/>
          <w:numId w:val="1"/>
        </w:numPr>
        <w:spacing w:line="360" w:lineRule="auto"/>
        <w:ind w:left="0"/>
        <w:rPr>
          <w:rFonts w:asciiTheme="minorEastAsia" w:hAnsiTheme="minorEastAsia" w:eastAsiaTheme="minorEastAsia"/>
          <w:b/>
          <w:color w:val="000000"/>
          <w:sz w:val="28"/>
          <w:szCs w:val="28"/>
        </w:rPr>
      </w:pPr>
      <w:r>
        <w:rPr>
          <w:rFonts w:hint="eastAsia" w:asciiTheme="minorEastAsia" w:hAnsiTheme="minorEastAsia" w:eastAsiaTheme="minorEastAsia"/>
          <w:b/>
          <w:color w:val="000000"/>
          <w:sz w:val="28"/>
          <w:szCs w:val="28"/>
        </w:rPr>
        <w:t>付款</w:t>
      </w:r>
    </w:p>
    <w:p w14:paraId="7E68AA82">
      <w:pPr>
        <w:spacing w:line="360" w:lineRule="auto"/>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买方</w:t>
      </w:r>
      <w:r>
        <w:rPr>
          <w:rFonts w:asciiTheme="minorEastAsia" w:hAnsiTheme="minorEastAsia" w:eastAsiaTheme="minorEastAsia"/>
          <w:color w:val="000000"/>
          <w:sz w:val="24"/>
          <w:szCs w:val="24"/>
        </w:rPr>
        <w:t>应当按如下第</w:t>
      </w:r>
      <w:r>
        <w:rPr>
          <w:rFonts w:hint="eastAsia" w:asciiTheme="minorEastAsia" w:hAnsiTheme="minorEastAsia" w:eastAsiaTheme="minorEastAsia"/>
          <w:color w:val="000000"/>
          <w:sz w:val="24"/>
          <w:szCs w:val="24"/>
          <w:u w:val="single"/>
        </w:rPr>
        <w:t xml:space="preserve">     </w:t>
      </w:r>
      <w:r>
        <w:rPr>
          <w:rFonts w:hint="eastAsia" w:asciiTheme="minorEastAsia" w:hAnsiTheme="minorEastAsia" w:eastAsiaTheme="minorEastAsia"/>
          <w:color w:val="000000"/>
          <w:sz w:val="24"/>
          <w:szCs w:val="24"/>
        </w:rPr>
        <w:t>种</w:t>
      </w:r>
      <w:r>
        <w:rPr>
          <w:rFonts w:asciiTheme="minorEastAsia" w:hAnsiTheme="minorEastAsia" w:eastAsiaTheme="minorEastAsia"/>
          <w:color w:val="000000"/>
          <w:sz w:val="24"/>
          <w:szCs w:val="24"/>
        </w:rPr>
        <w:t>方式向卖方支付货款：</w:t>
      </w:r>
    </w:p>
    <w:p w14:paraId="6CAC4E07">
      <w:pPr>
        <w:spacing w:line="360" w:lineRule="auto"/>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（1）于卖方交付产品且</w:t>
      </w:r>
      <w:r>
        <w:rPr>
          <w:rFonts w:asciiTheme="minorEastAsia" w:hAnsiTheme="minorEastAsia" w:eastAsiaTheme="minorEastAsia"/>
          <w:color w:val="000000"/>
          <w:sz w:val="24"/>
          <w:szCs w:val="24"/>
        </w:rPr>
        <w:t>验收</w:t>
      </w:r>
      <w:r>
        <w:rPr>
          <w:rFonts w:hint="eastAsia" w:asciiTheme="minorEastAsia" w:hAnsiTheme="minorEastAsia" w:eastAsiaTheme="minorEastAsia"/>
          <w:color w:val="000000"/>
          <w:sz w:val="24"/>
          <w:szCs w:val="24"/>
        </w:rPr>
        <w:t>合格</w:t>
      </w:r>
      <w:r>
        <w:rPr>
          <w:rFonts w:asciiTheme="minorEastAsia" w:hAnsiTheme="minorEastAsia" w:eastAsiaTheme="minorEastAsia"/>
          <w:color w:val="000000"/>
          <w:sz w:val="24"/>
          <w:szCs w:val="24"/>
        </w:rPr>
        <w:t>后</w:t>
      </w:r>
      <w:r>
        <w:rPr>
          <w:rFonts w:hint="eastAsia" w:asciiTheme="minorEastAsia" w:hAnsiTheme="minorEastAsia" w:eastAsiaTheme="minorEastAsia"/>
          <w:color w:val="000000"/>
          <w:sz w:val="24"/>
          <w:szCs w:val="24"/>
          <w:u w:val="single"/>
        </w:rPr>
        <w:t xml:space="preserve">    </w:t>
      </w:r>
      <w:r>
        <w:rPr>
          <w:rFonts w:hint="eastAsia" w:asciiTheme="minorEastAsia" w:hAnsiTheme="minorEastAsia" w:eastAsiaTheme="minorEastAsia"/>
          <w:color w:val="000000"/>
          <w:sz w:val="24"/>
          <w:szCs w:val="24"/>
        </w:rPr>
        <w:t>日</w:t>
      </w:r>
      <w:r>
        <w:rPr>
          <w:rFonts w:asciiTheme="minorEastAsia" w:hAnsiTheme="minorEastAsia" w:eastAsiaTheme="minorEastAsia"/>
          <w:color w:val="000000"/>
          <w:sz w:val="24"/>
          <w:szCs w:val="24"/>
        </w:rPr>
        <w:t>内一次性向卖方支付全部货款</w:t>
      </w:r>
      <w:r>
        <w:rPr>
          <w:rFonts w:hint="eastAsia" w:asciiTheme="minorEastAsia" w:hAnsiTheme="minorEastAsia" w:eastAsiaTheme="minorEastAsia"/>
          <w:color w:val="000000"/>
          <w:sz w:val="24"/>
          <w:szCs w:val="24"/>
        </w:rPr>
        <w:t>；</w:t>
      </w:r>
    </w:p>
    <w:p w14:paraId="793E7425">
      <w:pPr>
        <w:spacing w:line="360" w:lineRule="auto"/>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（2）于</w:t>
      </w:r>
      <w:r>
        <w:rPr>
          <w:rFonts w:asciiTheme="minorEastAsia" w:hAnsiTheme="minorEastAsia" w:eastAsiaTheme="minorEastAsia"/>
          <w:color w:val="000000"/>
          <w:sz w:val="24"/>
          <w:szCs w:val="24"/>
        </w:rPr>
        <w:t>本合同生效后</w:t>
      </w:r>
      <w:r>
        <w:rPr>
          <w:rFonts w:hint="eastAsia" w:asciiTheme="minorEastAsia" w:hAnsiTheme="minorEastAsia" w:eastAsiaTheme="minorEastAsia"/>
          <w:color w:val="000000"/>
          <w:sz w:val="24"/>
          <w:szCs w:val="24"/>
          <w:u w:val="single"/>
        </w:rPr>
        <w:t xml:space="preserve">    </w:t>
      </w:r>
      <w:r>
        <w:rPr>
          <w:rFonts w:hint="eastAsia" w:asciiTheme="minorEastAsia" w:hAnsiTheme="minorEastAsia" w:eastAsiaTheme="minorEastAsia"/>
          <w:color w:val="000000"/>
          <w:sz w:val="24"/>
          <w:szCs w:val="24"/>
        </w:rPr>
        <w:t>日</w:t>
      </w:r>
      <w:r>
        <w:rPr>
          <w:rFonts w:asciiTheme="minorEastAsia" w:hAnsiTheme="minorEastAsia" w:eastAsiaTheme="minorEastAsia"/>
          <w:color w:val="000000"/>
          <w:sz w:val="24"/>
          <w:szCs w:val="24"/>
        </w:rPr>
        <w:t>内</w:t>
      </w:r>
      <w:r>
        <w:rPr>
          <w:rFonts w:hint="eastAsia" w:asciiTheme="minorEastAsia" w:hAnsiTheme="minorEastAsia" w:eastAsiaTheme="minorEastAsia"/>
          <w:color w:val="000000"/>
          <w:sz w:val="24"/>
          <w:szCs w:val="24"/>
        </w:rPr>
        <w:t>向</w:t>
      </w:r>
      <w:r>
        <w:rPr>
          <w:rFonts w:asciiTheme="minorEastAsia" w:hAnsiTheme="minorEastAsia" w:eastAsiaTheme="minorEastAsia"/>
          <w:color w:val="000000"/>
          <w:sz w:val="24"/>
          <w:szCs w:val="24"/>
        </w:rPr>
        <w:t>卖方预付</w:t>
      </w:r>
      <w:r>
        <w:rPr>
          <w:rFonts w:hint="eastAsia" w:asciiTheme="minorEastAsia" w:hAnsiTheme="minorEastAsia" w:eastAsiaTheme="minorEastAsia"/>
          <w:color w:val="000000"/>
          <w:sz w:val="24"/>
          <w:szCs w:val="24"/>
          <w:u w:val="single"/>
        </w:rPr>
        <w:t xml:space="preserve">     </w:t>
      </w:r>
      <w:r>
        <w:rPr>
          <w:rFonts w:asciiTheme="minorEastAsia" w:hAnsiTheme="minorEastAsia" w:eastAsiaTheme="minorEastAsia"/>
          <w:color w:val="000000"/>
          <w:sz w:val="24"/>
          <w:szCs w:val="24"/>
        </w:rPr>
        <w:t>%的货款，</w:t>
      </w:r>
      <w:r>
        <w:rPr>
          <w:rFonts w:hint="eastAsia" w:asciiTheme="minorEastAsia" w:hAnsiTheme="minorEastAsia" w:eastAsiaTheme="minorEastAsia"/>
          <w:color w:val="000000"/>
          <w:sz w:val="24"/>
          <w:szCs w:val="24"/>
        </w:rPr>
        <w:t>卖方交付产品</w:t>
      </w:r>
      <w:r>
        <w:rPr>
          <w:rFonts w:asciiTheme="minorEastAsia" w:hAnsiTheme="minorEastAsia" w:eastAsiaTheme="minorEastAsia"/>
          <w:color w:val="000000"/>
          <w:sz w:val="24"/>
          <w:szCs w:val="24"/>
        </w:rPr>
        <w:t>且验收</w:t>
      </w:r>
      <w:r>
        <w:rPr>
          <w:rFonts w:hint="eastAsia" w:asciiTheme="minorEastAsia" w:hAnsiTheme="minorEastAsia" w:eastAsiaTheme="minorEastAsia"/>
          <w:color w:val="000000"/>
          <w:sz w:val="24"/>
          <w:szCs w:val="24"/>
        </w:rPr>
        <w:t>合格</w:t>
      </w:r>
      <w:r>
        <w:rPr>
          <w:rFonts w:asciiTheme="minorEastAsia" w:hAnsiTheme="minorEastAsia" w:eastAsiaTheme="minorEastAsia"/>
          <w:color w:val="000000"/>
          <w:sz w:val="24"/>
          <w:szCs w:val="24"/>
        </w:rPr>
        <w:t>后</w:t>
      </w:r>
      <w:r>
        <w:rPr>
          <w:rFonts w:hint="eastAsia" w:asciiTheme="minorEastAsia" w:hAnsiTheme="minorEastAsia" w:eastAsiaTheme="minorEastAsia"/>
          <w:color w:val="000000"/>
          <w:sz w:val="24"/>
          <w:szCs w:val="24"/>
          <w:u w:val="single"/>
        </w:rPr>
        <w:t xml:space="preserve">      </w:t>
      </w:r>
      <w:r>
        <w:rPr>
          <w:rFonts w:hint="eastAsia" w:asciiTheme="minorEastAsia" w:hAnsiTheme="minorEastAsia" w:eastAsiaTheme="minorEastAsia"/>
          <w:color w:val="000000"/>
          <w:sz w:val="24"/>
          <w:szCs w:val="24"/>
        </w:rPr>
        <w:t>日内按照合格产品的数量</w:t>
      </w:r>
      <w:r>
        <w:rPr>
          <w:rFonts w:asciiTheme="minorEastAsia" w:hAnsiTheme="minorEastAsia" w:eastAsiaTheme="minorEastAsia"/>
          <w:color w:val="000000"/>
          <w:sz w:val="24"/>
          <w:szCs w:val="24"/>
        </w:rPr>
        <w:t>支付剩余货款</w:t>
      </w:r>
      <w:r>
        <w:rPr>
          <w:rFonts w:hint="eastAsia" w:asciiTheme="minorEastAsia" w:hAnsiTheme="minorEastAsia" w:eastAsiaTheme="minorEastAsia"/>
          <w:color w:val="000000"/>
          <w:sz w:val="24"/>
          <w:szCs w:val="24"/>
        </w:rPr>
        <w:t>。</w:t>
      </w:r>
    </w:p>
    <w:p w14:paraId="3637D675">
      <w:pPr>
        <w:spacing w:line="360" w:lineRule="auto"/>
        <w:rPr>
          <w:rFonts w:asciiTheme="minorEastAsia" w:hAnsiTheme="minorEastAsia" w:eastAsiaTheme="minorEastAsia"/>
          <w:color w:val="000000"/>
          <w:sz w:val="24"/>
          <w:szCs w:val="24"/>
        </w:rPr>
      </w:pPr>
    </w:p>
    <w:p w14:paraId="4F761E71">
      <w:pPr>
        <w:numPr>
          <w:ilvl w:val="0"/>
          <w:numId w:val="1"/>
        </w:numPr>
        <w:spacing w:line="360" w:lineRule="auto"/>
        <w:rPr>
          <w:rFonts w:asciiTheme="minorEastAsia" w:hAnsiTheme="minorEastAsia" w:eastAsiaTheme="minorEastAsia"/>
          <w:b/>
          <w:color w:val="000000"/>
          <w:sz w:val="28"/>
          <w:szCs w:val="28"/>
        </w:rPr>
      </w:pPr>
      <w:r>
        <w:rPr>
          <w:rFonts w:hint="eastAsia" w:asciiTheme="minorEastAsia" w:hAnsiTheme="minorEastAsia" w:eastAsiaTheme="minorEastAsia"/>
          <w:b/>
          <w:color w:val="000000"/>
          <w:sz w:val="28"/>
          <w:szCs w:val="28"/>
        </w:rPr>
        <w:t>质量保证</w:t>
      </w:r>
    </w:p>
    <w:p w14:paraId="5E1769DF">
      <w:pPr>
        <w:spacing w:line="360" w:lineRule="auto"/>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7</w:t>
      </w:r>
      <w:r>
        <w:rPr>
          <w:rFonts w:hint="eastAsia" w:asciiTheme="minorEastAsia" w:hAnsiTheme="minorEastAsia" w:eastAsiaTheme="minorEastAsia"/>
          <w:color w:val="000000"/>
          <w:sz w:val="24"/>
          <w:szCs w:val="24"/>
        </w:rPr>
        <w:t>.1卖方保证所交付的产品是全新、未使用过的。</w:t>
      </w:r>
    </w:p>
    <w:p w14:paraId="7ABEDD9B">
      <w:pPr>
        <w:spacing w:line="360" w:lineRule="auto"/>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7</w:t>
      </w:r>
      <w:r>
        <w:rPr>
          <w:rFonts w:hint="eastAsia" w:asciiTheme="minorEastAsia" w:hAnsiTheme="minorEastAsia" w:eastAsiaTheme="minorEastAsia"/>
          <w:color w:val="000000"/>
          <w:sz w:val="24"/>
          <w:szCs w:val="24"/>
        </w:rPr>
        <w:t>.2产品的质量保证期为自交付或安装完成并验收合格之日起</w:t>
      </w:r>
      <w:r>
        <w:rPr>
          <w:rFonts w:hint="eastAsia" w:asciiTheme="minorEastAsia" w:hAnsiTheme="minorEastAsia" w:eastAsiaTheme="minorEastAsia"/>
          <w:color w:val="000000"/>
          <w:sz w:val="24"/>
          <w:szCs w:val="24"/>
          <w:u w:val="single"/>
        </w:rPr>
        <w:t xml:space="preserve">       </w:t>
      </w:r>
      <w:r>
        <w:rPr>
          <w:rFonts w:hint="eastAsia" w:asciiTheme="minorEastAsia" w:hAnsiTheme="minorEastAsia" w:eastAsiaTheme="minorEastAsia"/>
          <w:color w:val="000000"/>
          <w:sz w:val="24"/>
          <w:szCs w:val="24"/>
        </w:rPr>
        <w:t>个月，但若产品或产品的部件、配件明示了其质量保证期，或产品由第三方生产厂商承诺了质量保证期，且该等质量保证期较长的，则以该等质量保证期为准。</w:t>
      </w:r>
    </w:p>
    <w:p w14:paraId="1BA19984">
      <w:pPr>
        <w:spacing w:line="360" w:lineRule="auto"/>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7.3 在产品质量保证期内，对由于产品设计、工艺、材料、配套件等的缺陷而造成的任何产品质量瑕疵，卖方均应在收到买方通知后</w:t>
      </w:r>
      <w:r>
        <w:rPr>
          <w:rFonts w:hint="eastAsia" w:asciiTheme="minorEastAsia" w:hAnsiTheme="minorEastAsia" w:eastAsiaTheme="minorEastAsia"/>
          <w:color w:val="000000"/>
          <w:sz w:val="24"/>
          <w:szCs w:val="24"/>
          <w:u w:val="single"/>
        </w:rPr>
        <w:t xml:space="preserve">   </w:t>
      </w:r>
      <w:r>
        <w:rPr>
          <w:rFonts w:hint="eastAsia" w:asciiTheme="minorEastAsia" w:hAnsiTheme="minorEastAsia" w:eastAsiaTheme="minorEastAsia"/>
          <w:color w:val="000000"/>
          <w:sz w:val="24"/>
          <w:szCs w:val="24"/>
        </w:rPr>
        <w:t>日内免费维修或在不能维修时负责更换。若卖方未在本合同约定的期限内予以维修或更换，则买方有权要求退货退款。因产品质量不合格或产品缺陷、瑕疵造成的一切费用和损失，均由卖方承担。</w:t>
      </w:r>
    </w:p>
    <w:p w14:paraId="0DD6E82F">
      <w:pPr>
        <w:spacing w:line="360" w:lineRule="auto"/>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7.4质量保证期满后，一旦发生产品质量瑕疵，而买方无法自行解决时，在接到买方通知后，卖方应在</w:t>
      </w:r>
      <w:r>
        <w:rPr>
          <w:rFonts w:hint="eastAsia" w:asciiTheme="minorEastAsia" w:hAnsiTheme="minorEastAsia" w:eastAsiaTheme="minorEastAsia"/>
          <w:color w:val="000000"/>
          <w:sz w:val="24"/>
          <w:szCs w:val="24"/>
          <w:u w:val="single"/>
        </w:rPr>
        <w:t xml:space="preserve">    </w:t>
      </w:r>
      <w:r>
        <w:rPr>
          <w:rFonts w:hint="eastAsia" w:asciiTheme="minorEastAsia" w:hAnsiTheme="minorEastAsia" w:eastAsiaTheme="minorEastAsia"/>
          <w:color w:val="000000"/>
          <w:sz w:val="24"/>
          <w:szCs w:val="24"/>
        </w:rPr>
        <w:t>日内派人前往买方指定地点维修或在不能维修时负责更换，但相应成本、费用应由买方承担。</w:t>
      </w:r>
    </w:p>
    <w:p w14:paraId="7FE64F40">
      <w:pPr>
        <w:spacing w:line="360" w:lineRule="auto"/>
        <w:rPr>
          <w:rFonts w:asciiTheme="minorEastAsia" w:hAnsiTheme="minorEastAsia" w:eastAsiaTheme="minorEastAsia"/>
          <w:b/>
          <w:color w:val="000000"/>
          <w:sz w:val="24"/>
          <w:szCs w:val="24"/>
        </w:rPr>
      </w:pPr>
    </w:p>
    <w:p w14:paraId="26B0B9B9">
      <w:pPr>
        <w:numPr>
          <w:ilvl w:val="0"/>
          <w:numId w:val="1"/>
        </w:numPr>
        <w:spacing w:line="360" w:lineRule="auto"/>
        <w:rPr>
          <w:rFonts w:asciiTheme="minorEastAsia" w:hAnsiTheme="minorEastAsia" w:eastAsiaTheme="minorEastAsia"/>
          <w:b/>
          <w:color w:val="000000"/>
          <w:sz w:val="28"/>
          <w:szCs w:val="28"/>
        </w:rPr>
      </w:pPr>
      <w:r>
        <w:rPr>
          <w:rFonts w:hint="eastAsia" w:asciiTheme="minorEastAsia" w:hAnsiTheme="minorEastAsia" w:eastAsiaTheme="minorEastAsia"/>
          <w:b/>
          <w:color w:val="000000"/>
          <w:sz w:val="28"/>
          <w:szCs w:val="28"/>
        </w:rPr>
        <w:t>违约责任</w:t>
      </w:r>
    </w:p>
    <w:p w14:paraId="71BEE12D">
      <w:pPr>
        <w:pStyle w:val="5"/>
        <w:spacing w:line="360" w:lineRule="auto"/>
        <w:ind w:left="0"/>
        <w:rPr>
          <w:rFonts w:asciiTheme="minorEastAsia" w:hAnsiTheme="minorEastAsia" w:eastAsiaTheme="minorEastAsia"/>
          <w:color w:val="000000"/>
          <w:szCs w:val="24"/>
        </w:rPr>
      </w:pPr>
      <w:r>
        <w:rPr>
          <w:rFonts w:hint="eastAsia" w:asciiTheme="minorEastAsia" w:hAnsiTheme="minorEastAsia" w:eastAsiaTheme="minorEastAsia"/>
          <w:color w:val="000000"/>
          <w:szCs w:val="24"/>
        </w:rPr>
        <w:t>8.1 卖方逾期交货，每逾期一天，应当向买方支付相当于逾期交货部分总价的</w:t>
      </w:r>
      <w:r>
        <w:rPr>
          <w:rFonts w:hint="eastAsia" w:asciiTheme="minorEastAsia" w:hAnsiTheme="minorEastAsia" w:eastAsiaTheme="minorEastAsia"/>
          <w:color w:val="000000"/>
          <w:szCs w:val="24"/>
          <w:u w:val="single"/>
        </w:rPr>
        <w:t xml:space="preserve">      </w:t>
      </w:r>
      <w:r>
        <w:rPr>
          <w:rFonts w:asciiTheme="minorEastAsia" w:hAnsiTheme="minorEastAsia" w:eastAsiaTheme="minorEastAsia"/>
          <w:color w:val="000000"/>
          <w:szCs w:val="24"/>
        </w:rPr>
        <w:t>%</w:t>
      </w:r>
      <w:r>
        <w:rPr>
          <w:rFonts w:hint="eastAsia" w:asciiTheme="minorEastAsia" w:hAnsiTheme="minorEastAsia" w:eastAsiaTheme="minorEastAsia"/>
          <w:color w:val="000000"/>
          <w:szCs w:val="24"/>
        </w:rPr>
        <w:t>的迟延履行违约金。卖方逾期交货达</w:t>
      </w:r>
      <w:r>
        <w:rPr>
          <w:rFonts w:hint="eastAsia" w:asciiTheme="minorEastAsia" w:hAnsiTheme="minorEastAsia" w:eastAsiaTheme="minorEastAsia"/>
          <w:color w:val="000000"/>
          <w:szCs w:val="24"/>
          <w:u w:val="single"/>
        </w:rPr>
        <w:t xml:space="preserve">     </w:t>
      </w:r>
      <w:r>
        <w:rPr>
          <w:rFonts w:hint="eastAsia" w:asciiTheme="minorEastAsia" w:hAnsiTheme="minorEastAsia" w:eastAsiaTheme="minorEastAsia"/>
          <w:color w:val="000000"/>
          <w:szCs w:val="24"/>
        </w:rPr>
        <w:t>日的，买方有权解除全部合同，或按照卖方逾期交货的数量部分解除合同。若买方解除全部合同的，有权要求卖方按合同总价的</w:t>
      </w:r>
      <w:r>
        <w:rPr>
          <w:rFonts w:hint="eastAsia" w:asciiTheme="minorEastAsia" w:hAnsiTheme="minorEastAsia" w:eastAsiaTheme="minorEastAsia"/>
          <w:color w:val="000000"/>
          <w:szCs w:val="24"/>
          <w:u w:val="single"/>
        </w:rPr>
        <w:t xml:space="preserve">      </w:t>
      </w:r>
      <w:r>
        <w:rPr>
          <w:rFonts w:asciiTheme="minorEastAsia" w:hAnsiTheme="minorEastAsia" w:eastAsiaTheme="minorEastAsia"/>
          <w:color w:val="000000"/>
          <w:szCs w:val="24"/>
        </w:rPr>
        <w:t>%</w:t>
      </w:r>
      <w:r>
        <w:rPr>
          <w:rFonts w:hint="eastAsia" w:asciiTheme="minorEastAsia" w:hAnsiTheme="minorEastAsia" w:eastAsiaTheme="minorEastAsia"/>
          <w:color w:val="000000"/>
          <w:szCs w:val="24"/>
        </w:rPr>
        <w:t>向买方支付根本违约的违约金；若买方部分解除合同的，有权要求卖方按未交付部分总价的</w:t>
      </w:r>
      <w:r>
        <w:rPr>
          <w:rFonts w:hint="eastAsia" w:asciiTheme="minorEastAsia" w:hAnsiTheme="minorEastAsia" w:eastAsiaTheme="minorEastAsia"/>
          <w:color w:val="000000"/>
          <w:szCs w:val="24"/>
          <w:u w:val="single"/>
        </w:rPr>
        <w:t xml:space="preserve">      </w:t>
      </w:r>
      <w:r>
        <w:rPr>
          <w:rFonts w:asciiTheme="minorEastAsia" w:hAnsiTheme="minorEastAsia" w:eastAsiaTheme="minorEastAsia"/>
          <w:color w:val="000000"/>
          <w:szCs w:val="24"/>
        </w:rPr>
        <w:t>%</w:t>
      </w:r>
      <w:r>
        <w:rPr>
          <w:rFonts w:hint="eastAsia" w:asciiTheme="minorEastAsia" w:hAnsiTheme="minorEastAsia" w:eastAsiaTheme="minorEastAsia"/>
          <w:color w:val="000000"/>
          <w:szCs w:val="24"/>
        </w:rPr>
        <w:t>向买方支付违约金。</w:t>
      </w:r>
    </w:p>
    <w:p w14:paraId="3DB86157">
      <w:pPr>
        <w:spacing w:line="360" w:lineRule="auto"/>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 xml:space="preserve">8.2 若卖方交付的产品为不合格产品，且未在买方指定的期限内予更换为合格产品并完成交付的，视为卖方逾期交货； </w:t>
      </w:r>
    </w:p>
    <w:p w14:paraId="33492604">
      <w:pPr>
        <w:pStyle w:val="5"/>
        <w:spacing w:line="360" w:lineRule="auto"/>
        <w:ind w:left="0"/>
        <w:rPr>
          <w:rFonts w:asciiTheme="minorEastAsia" w:hAnsiTheme="minorEastAsia" w:eastAsiaTheme="minorEastAsia"/>
          <w:color w:val="000000"/>
          <w:szCs w:val="24"/>
        </w:rPr>
      </w:pPr>
      <w:r>
        <w:rPr>
          <w:rFonts w:hint="eastAsia" w:asciiTheme="minorEastAsia" w:hAnsiTheme="minorEastAsia" w:eastAsiaTheme="minorEastAsia"/>
          <w:color w:val="000000"/>
          <w:szCs w:val="24"/>
        </w:rPr>
        <w:t>8.3 买方逾期</w:t>
      </w:r>
      <w:r>
        <w:rPr>
          <w:rFonts w:asciiTheme="minorEastAsia" w:hAnsiTheme="minorEastAsia" w:eastAsiaTheme="minorEastAsia"/>
          <w:color w:val="000000"/>
          <w:szCs w:val="24"/>
        </w:rPr>
        <w:t>付款，</w:t>
      </w:r>
      <w:r>
        <w:rPr>
          <w:rFonts w:hint="eastAsia" w:asciiTheme="minorEastAsia" w:hAnsiTheme="minorEastAsia" w:eastAsiaTheme="minorEastAsia"/>
          <w:color w:val="000000"/>
          <w:szCs w:val="24"/>
        </w:rPr>
        <w:t>每逾期一天，应当</w:t>
      </w:r>
      <w:r>
        <w:rPr>
          <w:rFonts w:asciiTheme="minorEastAsia" w:hAnsiTheme="minorEastAsia" w:eastAsiaTheme="minorEastAsia"/>
          <w:color w:val="000000"/>
          <w:szCs w:val="24"/>
        </w:rPr>
        <w:t>向卖方支付</w:t>
      </w:r>
      <w:r>
        <w:rPr>
          <w:rFonts w:hint="eastAsia" w:asciiTheme="minorEastAsia" w:hAnsiTheme="minorEastAsia" w:eastAsiaTheme="minorEastAsia"/>
          <w:color w:val="000000"/>
          <w:szCs w:val="24"/>
        </w:rPr>
        <w:t>相当于逾期付款金额的</w:t>
      </w:r>
      <w:r>
        <w:rPr>
          <w:rFonts w:hint="eastAsia" w:asciiTheme="minorEastAsia" w:hAnsiTheme="minorEastAsia" w:eastAsiaTheme="minorEastAsia"/>
          <w:color w:val="000000"/>
          <w:szCs w:val="24"/>
          <w:u w:val="single"/>
        </w:rPr>
        <w:t xml:space="preserve">     </w:t>
      </w:r>
      <w:r>
        <w:rPr>
          <w:rFonts w:asciiTheme="minorEastAsia" w:hAnsiTheme="minorEastAsia" w:eastAsiaTheme="minorEastAsia"/>
          <w:color w:val="000000"/>
          <w:szCs w:val="24"/>
        </w:rPr>
        <w:t>%</w:t>
      </w:r>
      <w:r>
        <w:rPr>
          <w:rFonts w:hint="eastAsia" w:asciiTheme="minorEastAsia" w:hAnsiTheme="minorEastAsia" w:eastAsiaTheme="minorEastAsia"/>
          <w:color w:val="000000"/>
          <w:szCs w:val="24"/>
        </w:rPr>
        <w:t>的迟延履行违约金；</w:t>
      </w:r>
    </w:p>
    <w:p w14:paraId="4E3F7A44">
      <w:pPr>
        <w:pStyle w:val="5"/>
        <w:spacing w:line="360" w:lineRule="auto"/>
        <w:ind w:left="0"/>
        <w:rPr>
          <w:rFonts w:asciiTheme="minorEastAsia" w:hAnsiTheme="minorEastAsia" w:eastAsiaTheme="minorEastAsia"/>
          <w:color w:val="000000"/>
          <w:szCs w:val="24"/>
        </w:rPr>
      </w:pPr>
      <w:r>
        <w:rPr>
          <w:rFonts w:hint="eastAsia" w:asciiTheme="minorEastAsia" w:hAnsiTheme="minorEastAsia" w:eastAsiaTheme="minorEastAsia"/>
          <w:color w:val="000000"/>
          <w:szCs w:val="24"/>
        </w:rPr>
        <w:t>8.4 买方逾期付款达</w:t>
      </w:r>
      <w:r>
        <w:rPr>
          <w:rFonts w:hint="eastAsia" w:asciiTheme="minorEastAsia" w:hAnsiTheme="minorEastAsia" w:eastAsiaTheme="minorEastAsia"/>
          <w:color w:val="000000"/>
          <w:szCs w:val="24"/>
          <w:u w:val="single"/>
        </w:rPr>
        <w:t xml:space="preserve">     </w:t>
      </w:r>
      <w:r>
        <w:rPr>
          <w:rFonts w:hint="eastAsia" w:asciiTheme="minorEastAsia" w:hAnsiTheme="minorEastAsia" w:eastAsiaTheme="minorEastAsia"/>
          <w:color w:val="000000"/>
          <w:szCs w:val="24"/>
        </w:rPr>
        <w:t>日的，且卖方尚未交付产品或卖方交付后买方尚未接收产品的，卖方有权解除全部合同，并要求买方按照合同总价的</w:t>
      </w:r>
      <w:r>
        <w:rPr>
          <w:rFonts w:hint="eastAsia" w:asciiTheme="minorEastAsia" w:hAnsiTheme="minorEastAsia" w:eastAsiaTheme="minorEastAsia"/>
          <w:color w:val="000000"/>
          <w:szCs w:val="24"/>
          <w:u w:val="single"/>
        </w:rPr>
        <w:t xml:space="preserve">    </w:t>
      </w:r>
      <w:r>
        <w:rPr>
          <w:rFonts w:hint="eastAsia" w:asciiTheme="minorEastAsia" w:hAnsiTheme="minorEastAsia" w:eastAsiaTheme="minorEastAsia"/>
          <w:color w:val="000000"/>
          <w:szCs w:val="24"/>
        </w:rPr>
        <w:t>%支付根本违约的违约金；</w:t>
      </w:r>
    </w:p>
    <w:p w14:paraId="27E2590A">
      <w:pPr>
        <w:spacing w:line="360" w:lineRule="auto"/>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8.5 买卖</w:t>
      </w:r>
      <w:r>
        <w:rPr>
          <w:rFonts w:asciiTheme="minorEastAsia" w:hAnsiTheme="minorEastAsia" w:eastAsiaTheme="minorEastAsia"/>
          <w:color w:val="000000"/>
          <w:sz w:val="24"/>
          <w:szCs w:val="24"/>
        </w:rPr>
        <w:t>双</w:t>
      </w:r>
      <w:r>
        <w:rPr>
          <w:rFonts w:hint="eastAsia" w:asciiTheme="minorEastAsia" w:hAnsiTheme="minorEastAsia" w:eastAsiaTheme="minorEastAsia"/>
          <w:color w:val="000000"/>
          <w:sz w:val="24"/>
          <w:szCs w:val="24"/>
        </w:rPr>
        <w:t>方可同时主张迟延履行违约金和根本违约</w:t>
      </w:r>
      <w:r>
        <w:rPr>
          <w:rFonts w:asciiTheme="minorEastAsia" w:hAnsiTheme="minorEastAsia" w:eastAsiaTheme="minorEastAsia"/>
          <w:color w:val="000000"/>
          <w:sz w:val="24"/>
          <w:szCs w:val="24"/>
        </w:rPr>
        <w:t>的</w:t>
      </w:r>
      <w:r>
        <w:rPr>
          <w:rFonts w:hint="eastAsia" w:asciiTheme="minorEastAsia" w:hAnsiTheme="minorEastAsia" w:eastAsiaTheme="minorEastAsia"/>
          <w:color w:val="000000"/>
          <w:sz w:val="24"/>
          <w:szCs w:val="24"/>
        </w:rPr>
        <w:t>违约金。但迟延履行违约金的</w:t>
      </w:r>
      <w:r>
        <w:rPr>
          <w:rFonts w:asciiTheme="minorEastAsia" w:hAnsiTheme="minorEastAsia" w:eastAsiaTheme="minorEastAsia"/>
          <w:color w:val="000000"/>
          <w:sz w:val="24"/>
          <w:szCs w:val="24"/>
        </w:rPr>
        <w:t>最高限额为</w:t>
      </w:r>
      <w:r>
        <w:rPr>
          <w:rFonts w:hint="eastAsia" w:asciiTheme="minorEastAsia" w:hAnsiTheme="minorEastAsia" w:eastAsiaTheme="minorEastAsia"/>
          <w:color w:val="000000"/>
          <w:sz w:val="24"/>
          <w:szCs w:val="24"/>
        </w:rPr>
        <w:t>合同总价的</w:t>
      </w:r>
      <w:r>
        <w:rPr>
          <w:rFonts w:hint="eastAsia" w:asciiTheme="minorEastAsia" w:hAnsiTheme="minorEastAsia" w:eastAsiaTheme="minorEastAsia"/>
          <w:color w:val="000000"/>
          <w:sz w:val="24"/>
          <w:szCs w:val="24"/>
          <w:u w:val="single"/>
        </w:rPr>
        <w:t xml:space="preserve">     </w:t>
      </w:r>
      <w:r>
        <w:rPr>
          <w:rFonts w:hint="eastAsia" w:asciiTheme="minorEastAsia" w:hAnsiTheme="minorEastAsia" w:eastAsiaTheme="minorEastAsia"/>
          <w:color w:val="000000"/>
          <w:sz w:val="24"/>
          <w:szCs w:val="24"/>
        </w:rPr>
        <w:t>%。</w:t>
      </w:r>
    </w:p>
    <w:p w14:paraId="2A21C1A9">
      <w:pPr>
        <w:spacing w:line="360" w:lineRule="auto"/>
        <w:ind w:left="2" w:leftChars="1"/>
        <w:rPr>
          <w:rFonts w:asciiTheme="minorEastAsia" w:hAnsiTheme="minorEastAsia" w:eastAsiaTheme="minorEastAsia"/>
          <w:b/>
          <w:color w:val="000000"/>
          <w:sz w:val="24"/>
          <w:szCs w:val="24"/>
        </w:rPr>
      </w:pPr>
    </w:p>
    <w:p w14:paraId="08F9EA8B">
      <w:pPr>
        <w:numPr>
          <w:ilvl w:val="0"/>
          <w:numId w:val="1"/>
        </w:numPr>
        <w:spacing w:line="360" w:lineRule="auto"/>
        <w:rPr>
          <w:rFonts w:asciiTheme="minorEastAsia" w:hAnsiTheme="minorEastAsia" w:eastAsiaTheme="minorEastAsia"/>
          <w:b/>
          <w:color w:val="000000"/>
          <w:sz w:val="28"/>
          <w:szCs w:val="28"/>
        </w:rPr>
      </w:pPr>
      <w:r>
        <w:rPr>
          <w:rFonts w:hint="eastAsia" w:asciiTheme="minorEastAsia" w:hAnsiTheme="minorEastAsia" w:eastAsiaTheme="minorEastAsia"/>
          <w:b/>
          <w:color w:val="000000"/>
          <w:sz w:val="28"/>
          <w:szCs w:val="28"/>
        </w:rPr>
        <w:t>争议解决</w:t>
      </w:r>
    </w:p>
    <w:p w14:paraId="6E83BCD0">
      <w:pPr>
        <w:spacing w:line="360" w:lineRule="auto"/>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凡合同履行过程中发生的争议，买卖双方应通过友好协商，妥善解决。如协商不成，按</w:t>
      </w:r>
      <w:r>
        <w:rPr>
          <w:rFonts w:asciiTheme="minorEastAsia" w:hAnsiTheme="minorEastAsia" w:eastAsiaTheme="minorEastAsia"/>
          <w:color w:val="000000"/>
          <w:sz w:val="24"/>
          <w:szCs w:val="24"/>
        </w:rPr>
        <w:t>如下</w:t>
      </w:r>
      <w:r>
        <w:rPr>
          <w:rFonts w:hint="eastAsia" w:asciiTheme="minorEastAsia" w:hAnsiTheme="minorEastAsia" w:eastAsiaTheme="minorEastAsia"/>
          <w:color w:val="000000"/>
          <w:sz w:val="24"/>
          <w:szCs w:val="24"/>
          <w:u w:val="single"/>
        </w:rPr>
        <w:t xml:space="preserve">     </w:t>
      </w:r>
      <w:r>
        <w:rPr>
          <w:rFonts w:hint="eastAsia" w:asciiTheme="minorEastAsia" w:hAnsiTheme="minorEastAsia" w:eastAsiaTheme="minorEastAsia"/>
          <w:color w:val="000000"/>
          <w:sz w:val="24"/>
          <w:szCs w:val="24"/>
        </w:rPr>
        <w:t>种</w:t>
      </w:r>
      <w:r>
        <w:rPr>
          <w:rFonts w:asciiTheme="minorEastAsia" w:hAnsiTheme="minorEastAsia" w:eastAsiaTheme="minorEastAsia"/>
          <w:color w:val="000000"/>
          <w:sz w:val="24"/>
          <w:szCs w:val="24"/>
        </w:rPr>
        <w:t>方式解决争议</w:t>
      </w:r>
      <w:r>
        <w:rPr>
          <w:rFonts w:hint="eastAsia" w:asciiTheme="minorEastAsia" w:hAnsiTheme="minorEastAsia" w:eastAsiaTheme="minorEastAsia"/>
          <w:color w:val="000000"/>
          <w:sz w:val="24"/>
          <w:szCs w:val="24"/>
        </w:rPr>
        <w:t>：</w:t>
      </w:r>
    </w:p>
    <w:p w14:paraId="4F1AECA8">
      <w:pPr>
        <w:spacing w:line="360" w:lineRule="auto"/>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（1）向</w:t>
      </w:r>
      <w:r>
        <w:rPr>
          <w:rFonts w:hint="eastAsia" w:asciiTheme="minorEastAsia" w:hAnsiTheme="minorEastAsia" w:eastAsiaTheme="minorEastAsia"/>
          <w:color w:val="000000"/>
          <w:sz w:val="24"/>
          <w:szCs w:val="24"/>
          <w:u w:val="single"/>
        </w:rPr>
        <w:t xml:space="preserve">              </w:t>
      </w:r>
      <w:r>
        <w:rPr>
          <w:rFonts w:hint="eastAsia" w:asciiTheme="minorEastAsia" w:hAnsiTheme="minorEastAsia" w:eastAsiaTheme="minorEastAsia"/>
          <w:color w:val="000000"/>
          <w:sz w:val="24"/>
          <w:szCs w:val="24"/>
        </w:rPr>
        <w:t>仲裁</w:t>
      </w:r>
      <w:r>
        <w:rPr>
          <w:rFonts w:asciiTheme="minorEastAsia" w:hAnsiTheme="minorEastAsia" w:eastAsiaTheme="minorEastAsia"/>
          <w:color w:val="000000"/>
          <w:sz w:val="24"/>
          <w:szCs w:val="24"/>
        </w:rPr>
        <w:t>委员会申请仲裁</w:t>
      </w:r>
      <w:r>
        <w:rPr>
          <w:rFonts w:hint="eastAsia" w:asciiTheme="minorEastAsia" w:hAnsiTheme="minorEastAsia" w:eastAsiaTheme="minorEastAsia"/>
          <w:color w:val="000000"/>
          <w:sz w:val="24"/>
          <w:szCs w:val="24"/>
        </w:rPr>
        <w:t>；</w:t>
      </w:r>
    </w:p>
    <w:p w14:paraId="67A75122">
      <w:pPr>
        <w:spacing w:line="360" w:lineRule="auto"/>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（2）向</w:t>
      </w:r>
      <w:r>
        <w:rPr>
          <w:rFonts w:hint="eastAsia" w:asciiTheme="minorEastAsia" w:hAnsiTheme="minorEastAsia" w:eastAsiaTheme="minorEastAsia"/>
          <w:color w:val="000000"/>
          <w:sz w:val="24"/>
          <w:szCs w:val="24"/>
          <w:lang w:val="en-US" w:eastAsia="zh-CN"/>
        </w:rPr>
        <w:t>珠海市香洲区</w:t>
      </w:r>
      <w:r>
        <w:rPr>
          <w:rFonts w:hint="eastAsia" w:asciiTheme="minorEastAsia" w:hAnsiTheme="minorEastAsia" w:eastAsiaTheme="minorEastAsia"/>
          <w:color w:val="000000"/>
          <w:sz w:val="24"/>
          <w:szCs w:val="24"/>
        </w:rPr>
        <w:t>人民法院</w:t>
      </w:r>
      <w:r>
        <w:rPr>
          <w:rFonts w:asciiTheme="minorEastAsia" w:hAnsiTheme="minorEastAsia" w:eastAsiaTheme="minorEastAsia"/>
          <w:color w:val="000000"/>
          <w:sz w:val="24"/>
          <w:szCs w:val="24"/>
        </w:rPr>
        <w:t>提起诉讼。</w:t>
      </w:r>
    </w:p>
    <w:p w14:paraId="3A056400">
      <w:pPr>
        <w:pStyle w:val="4"/>
        <w:snapToGrid w:val="0"/>
        <w:spacing w:line="360" w:lineRule="auto"/>
        <w:rPr>
          <w:rFonts w:ascii="宋体" w:hAnsi="宋体" w:cs="宋体"/>
          <w:b/>
        </w:rPr>
      </w:pPr>
    </w:p>
    <w:p w14:paraId="4A530CC6">
      <w:pPr>
        <w:pStyle w:val="4"/>
        <w:numPr>
          <w:ilvl w:val="0"/>
          <w:numId w:val="1"/>
        </w:numPr>
        <w:snapToGrid w:val="0"/>
        <w:spacing w:line="360" w:lineRule="auto"/>
        <w:ind w:left="0"/>
        <w:rPr>
          <w:rFonts w:ascii="宋体" w:hAnsi="宋体" w:cs="宋体"/>
          <w:b/>
          <w:sz w:val="28"/>
          <w:szCs w:val="21"/>
        </w:rPr>
      </w:pPr>
      <w:r>
        <w:rPr>
          <w:rFonts w:hint="eastAsia" w:ascii="宋体" w:hAnsi="宋体" w:cs="宋体"/>
          <w:b/>
          <w:sz w:val="28"/>
          <w:szCs w:val="21"/>
        </w:rPr>
        <w:t>联系方式</w:t>
      </w:r>
    </w:p>
    <w:p w14:paraId="53DC01FE">
      <w:pPr>
        <w:pStyle w:val="4"/>
        <w:snapToGrid w:val="0"/>
        <w:spacing w:line="360" w:lineRule="auto"/>
        <w:ind w:left="0"/>
        <w:rPr>
          <w:rFonts w:ascii="宋体" w:hAnsi="宋体" w:cs="宋体"/>
        </w:rPr>
      </w:pPr>
      <w:r>
        <w:rPr>
          <w:rFonts w:hint="eastAsia" w:ascii="宋体" w:hAnsi="宋体" w:cs="宋体"/>
        </w:rPr>
        <w:t>买卖双方因订立和履行本协议而相互发出或者提供的所有通知、文件、资料等，均以如下列明的联系方式进行送达，如一方变更联络人或联系方式，应当在</w:t>
      </w:r>
      <w:r>
        <w:rPr>
          <w:rFonts w:hint="eastAsia" w:ascii="宋体" w:hAnsi="宋体" w:cs="宋体"/>
          <w:u w:val="single"/>
        </w:rPr>
        <w:t xml:space="preserve">  </w:t>
      </w:r>
      <w:r>
        <w:rPr>
          <w:rFonts w:hint="eastAsia" w:ascii="宋体" w:hAnsi="宋体" w:cs="宋体"/>
        </w:rPr>
        <w:t>日内书面通知对方，双方指定联络人及联系方式如下：</w:t>
      </w:r>
    </w:p>
    <w:p w14:paraId="3A8A972B">
      <w:pPr>
        <w:pStyle w:val="4"/>
        <w:snapToGrid w:val="0"/>
        <w:spacing w:line="360" w:lineRule="auto"/>
        <w:ind w:left="0"/>
        <w:rPr>
          <w:rFonts w:ascii="宋体" w:hAnsi="宋体" w:cs="宋体"/>
          <w:szCs w:val="24"/>
        </w:rPr>
      </w:pPr>
      <w:r>
        <w:rPr>
          <w:rFonts w:hint="eastAsia" w:ascii="宋体" w:hAnsi="宋体" w:cs="宋体"/>
          <w:szCs w:val="24"/>
        </w:rPr>
        <w:t xml:space="preserve">甲方联络人：    </w:t>
      </w:r>
      <w:r>
        <w:rPr>
          <w:rFonts w:ascii="宋体" w:hAnsi="宋体" w:cs="宋体"/>
          <w:szCs w:val="24"/>
        </w:rPr>
        <w:t xml:space="preserve">            </w:t>
      </w:r>
      <w:r>
        <w:rPr>
          <w:rFonts w:hint="eastAsia" w:ascii="宋体" w:hAnsi="宋体" w:cs="宋体"/>
          <w:szCs w:val="24"/>
        </w:rPr>
        <w:t>联系方式：</w:t>
      </w:r>
    </w:p>
    <w:p w14:paraId="3C7A9DE9">
      <w:pPr>
        <w:spacing w:line="360" w:lineRule="auto"/>
        <w:rPr>
          <w:rFonts w:asciiTheme="minorEastAsia" w:hAnsiTheme="minorEastAsia" w:eastAsiaTheme="minorEastAsia"/>
          <w:color w:val="000000"/>
          <w:sz w:val="24"/>
          <w:szCs w:val="24"/>
        </w:rPr>
      </w:pPr>
      <w:r>
        <w:rPr>
          <w:rFonts w:hint="eastAsia" w:ascii="宋体" w:hAnsi="宋体" w:cs="宋体"/>
          <w:sz w:val="24"/>
          <w:szCs w:val="24"/>
        </w:rPr>
        <w:t xml:space="preserve">乙方联络人：  </w:t>
      </w:r>
      <w:r>
        <w:rPr>
          <w:rFonts w:ascii="宋体" w:hAnsi="宋体" w:cs="宋体"/>
          <w:sz w:val="24"/>
          <w:szCs w:val="24"/>
        </w:rPr>
        <w:t xml:space="preserve">          </w:t>
      </w:r>
      <w:r>
        <w:rPr>
          <w:rFonts w:hint="eastAsia" w:ascii="宋体" w:hAnsi="宋体" w:cs="宋体"/>
          <w:sz w:val="24"/>
          <w:szCs w:val="24"/>
        </w:rPr>
        <w:t xml:space="preserve">    联系方式：</w:t>
      </w:r>
    </w:p>
    <w:p w14:paraId="3D168C1D">
      <w:pPr>
        <w:spacing w:line="360" w:lineRule="auto"/>
        <w:ind w:left="2"/>
        <w:rPr>
          <w:rFonts w:asciiTheme="minorEastAsia" w:hAnsiTheme="minorEastAsia" w:eastAsiaTheme="minorEastAsia"/>
          <w:b/>
          <w:color w:val="000000"/>
          <w:sz w:val="24"/>
          <w:szCs w:val="24"/>
        </w:rPr>
      </w:pPr>
    </w:p>
    <w:p w14:paraId="1F047A8A">
      <w:pPr>
        <w:numPr>
          <w:ilvl w:val="0"/>
          <w:numId w:val="1"/>
        </w:numPr>
        <w:spacing w:line="360" w:lineRule="auto"/>
        <w:rPr>
          <w:rFonts w:asciiTheme="minorEastAsia" w:hAnsiTheme="minorEastAsia" w:eastAsiaTheme="minorEastAsia"/>
          <w:b/>
          <w:color w:val="000000"/>
          <w:sz w:val="28"/>
          <w:szCs w:val="28"/>
        </w:rPr>
      </w:pPr>
      <w:r>
        <w:rPr>
          <w:rFonts w:hint="eastAsia" w:asciiTheme="minorEastAsia" w:hAnsiTheme="minorEastAsia" w:eastAsiaTheme="minorEastAsia"/>
          <w:b/>
          <w:color w:val="000000"/>
          <w:sz w:val="28"/>
          <w:szCs w:val="28"/>
        </w:rPr>
        <w:t>合同生效</w:t>
      </w:r>
    </w:p>
    <w:p w14:paraId="2D90313A">
      <w:pPr>
        <w:spacing w:line="360" w:lineRule="auto"/>
        <w:rPr>
          <w:rFonts w:asciiTheme="minorEastAsia" w:hAnsiTheme="minorEastAsia" w:eastAsiaTheme="minorEastAsia"/>
          <w:color w:val="000000"/>
          <w:sz w:val="24"/>
          <w:szCs w:val="24"/>
        </w:rPr>
      </w:pPr>
      <w:r>
        <w:rPr>
          <w:rFonts w:hint="eastAsia" w:asciiTheme="minorEastAsia" w:hAnsiTheme="minorEastAsia" w:eastAsiaTheme="minorEastAsia"/>
          <w:sz w:val="24"/>
          <w:szCs w:val="24"/>
        </w:rPr>
        <w:t>本合同一式</w:t>
      </w:r>
      <w:r>
        <w:rPr>
          <w:rFonts w:hint="eastAsia" w:asciiTheme="minorEastAsia" w:hAnsiTheme="minorEastAsia" w:eastAsiaTheme="minorEastAsia"/>
          <w:sz w:val="24"/>
          <w:szCs w:val="24"/>
          <w:lang w:val="en-US" w:eastAsia="zh-CN"/>
        </w:rPr>
        <w:t>肆</w:t>
      </w:r>
      <w:r>
        <w:rPr>
          <w:rFonts w:hint="eastAsia" w:asciiTheme="minorEastAsia" w:hAnsiTheme="minorEastAsia" w:eastAsiaTheme="minorEastAsia"/>
          <w:sz w:val="24"/>
          <w:szCs w:val="24"/>
        </w:rPr>
        <w:t>份，</w:t>
      </w:r>
      <w:r>
        <w:rPr>
          <w:rFonts w:hint="eastAsia" w:asciiTheme="minorEastAsia" w:hAnsiTheme="minorEastAsia" w:eastAsiaTheme="minorEastAsia"/>
          <w:sz w:val="24"/>
          <w:szCs w:val="24"/>
          <w:lang w:val="en-US" w:eastAsia="zh-CN"/>
        </w:rPr>
        <w:t>甲方持叁份，乙方持壹份</w:t>
      </w:r>
      <w:r>
        <w:rPr>
          <w:rFonts w:hint="eastAsia" w:asciiTheme="minorEastAsia" w:hAnsiTheme="minorEastAsia" w:eastAsiaTheme="minorEastAsia"/>
          <w:sz w:val="24"/>
          <w:szCs w:val="24"/>
        </w:rPr>
        <w:t>，自双方盖章后生效。</w:t>
      </w:r>
    </w:p>
    <w:p w14:paraId="0F8E08E4">
      <w:pPr>
        <w:spacing w:line="360" w:lineRule="auto"/>
        <w:rPr>
          <w:rFonts w:asciiTheme="minorEastAsia" w:hAnsiTheme="minorEastAsia" w:eastAsiaTheme="minorEastAsia"/>
          <w:b/>
          <w:color w:val="000000"/>
          <w:sz w:val="24"/>
          <w:szCs w:val="24"/>
        </w:rPr>
      </w:pPr>
    </w:p>
    <w:p w14:paraId="7D2E4C74">
      <w:pPr>
        <w:spacing w:line="360" w:lineRule="auto"/>
        <w:rPr>
          <w:rFonts w:asciiTheme="minorEastAsia" w:hAnsiTheme="minorEastAsia" w:eastAsiaTheme="minorEastAsia"/>
          <w:b/>
          <w:color w:val="000000"/>
          <w:sz w:val="28"/>
          <w:szCs w:val="28"/>
        </w:rPr>
      </w:pPr>
      <w:r>
        <w:rPr>
          <w:rFonts w:hint="eastAsia" w:asciiTheme="minorEastAsia" w:hAnsiTheme="minorEastAsia" w:eastAsiaTheme="minorEastAsia"/>
          <w:b/>
          <w:color w:val="000000"/>
          <w:sz w:val="28"/>
          <w:szCs w:val="28"/>
        </w:rPr>
        <w:t>12.其他约定</w:t>
      </w:r>
    </w:p>
    <w:p w14:paraId="72D172E8">
      <w:pPr>
        <w:spacing w:line="360" w:lineRule="auto"/>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双方对本合同约定事项的其他约定为：</w:t>
      </w:r>
      <w:r>
        <w:rPr>
          <w:rFonts w:hint="eastAsia" w:asciiTheme="minorEastAsia" w:hAnsiTheme="minorEastAsia" w:eastAsiaTheme="minorEastAsia"/>
          <w:color w:val="000000"/>
          <w:sz w:val="24"/>
          <w:szCs w:val="24"/>
          <w:u w:val="single"/>
        </w:rPr>
        <w:t xml:space="preserve">                           </w:t>
      </w:r>
      <w:r>
        <w:rPr>
          <w:rFonts w:hint="eastAsia" w:asciiTheme="minorEastAsia" w:hAnsiTheme="minorEastAsia" w:eastAsiaTheme="minorEastAsia"/>
          <w:color w:val="000000"/>
          <w:sz w:val="24"/>
          <w:szCs w:val="24"/>
        </w:rPr>
        <w:t>。</w:t>
      </w:r>
    </w:p>
    <w:p w14:paraId="3550856F">
      <w:pPr>
        <w:spacing w:line="360" w:lineRule="auto"/>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本合同所涉及知识产权归属，应当归属于       ；本合同所涉内容以及双方信息，合同双方均负有保密义务。</w:t>
      </w:r>
    </w:p>
    <w:p w14:paraId="6D4F9603">
      <w:pPr>
        <w:spacing w:line="360" w:lineRule="auto"/>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rPr>
        <w:t>以下无正文）</w:t>
      </w:r>
    </w:p>
    <w:p w14:paraId="52E40A8A">
      <w:pPr>
        <w:spacing w:line="360" w:lineRule="auto"/>
        <w:rPr>
          <w:rFonts w:asciiTheme="minorEastAsia" w:hAnsiTheme="minorEastAsia" w:eastAsiaTheme="minorEastAsia"/>
          <w:b/>
          <w:sz w:val="24"/>
          <w:szCs w:val="24"/>
        </w:rPr>
      </w:pPr>
    </w:p>
    <w:p w14:paraId="7169E9FA">
      <w:pPr>
        <w:spacing w:line="360" w:lineRule="auto"/>
        <w:jc w:val="left"/>
        <w:rPr>
          <w:rFonts w:hint="eastAsia" w:asciiTheme="minorEastAsia" w:hAnsiTheme="minorEastAsia" w:eastAsiaTheme="minorEastAsia"/>
          <w:sz w:val="24"/>
        </w:rPr>
      </w:pPr>
      <w:r>
        <w:rPr>
          <w:rFonts w:hint="eastAsia" w:asciiTheme="minorEastAsia" w:hAnsiTheme="minorEastAsia" w:eastAsiaTheme="minorEastAsia"/>
          <w:sz w:val="24"/>
        </w:rPr>
        <w:t>甲方：</w:t>
      </w:r>
      <w:r>
        <w:rPr>
          <w:rFonts w:hint="eastAsia" w:cs="Times New Roman" w:asciiTheme="minorEastAsia" w:hAnsiTheme="minorEastAsia" w:eastAsiaTheme="minorEastAsia"/>
          <w:sz w:val="24"/>
          <w:lang w:eastAsia="zh-CN"/>
        </w:rPr>
        <w:t>广东省北京师范大学珠海校区</w:t>
      </w:r>
      <w:r>
        <w:rPr>
          <w:rFonts w:hint="eastAsia" w:cs="Times New Roman" w:asciiTheme="minorEastAsia" w:hAnsiTheme="minorEastAsia" w:eastAsiaTheme="minorEastAsia"/>
          <w:sz w:val="24"/>
        </w:rPr>
        <w:t xml:space="preserve"> </w:t>
      </w:r>
      <w:r>
        <w:rPr>
          <w:rFonts w:hint="eastAsia" w:asciiTheme="minorEastAsia" w:hAnsiTheme="minorEastAsia" w:eastAsiaTheme="minorEastAsia"/>
          <w:sz w:val="24"/>
        </w:rPr>
        <w:t xml:space="preserve">          乙方： </w:t>
      </w:r>
    </w:p>
    <w:p w14:paraId="26D71E82">
      <w:pPr>
        <w:spacing w:line="360" w:lineRule="auto"/>
        <w:ind w:firstLine="720" w:firstLineChars="300"/>
        <w:jc w:val="left"/>
        <w:rPr>
          <w:rFonts w:hint="eastAsia" w:asciiTheme="minorEastAsia" w:hAnsiTheme="minorEastAsia" w:eastAsiaTheme="minorEastAsia"/>
          <w:sz w:val="24"/>
        </w:rPr>
      </w:pPr>
      <w:r>
        <w:rPr>
          <w:rFonts w:hint="eastAsia" w:cs="Times New Roman" w:asciiTheme="minorEastAsia" w:hAnsiTheme="minorEastAsia" w:eastAsiaTheme="minorEastAsia"/>
          <w:sz w:val="24"/>
          <w:lang w:eastAsia="zh-CN"/>
        </w:rPr>
        <w:t>教育发展基金会</w:t>
      </w:r>
    </w:p>
    <w:p w14:paraId="2648FCB9">
      <w:pPr>
        <w:spacing w:line="360" w:lineRule="auto"/>
        <w:rPr>
          <w:rFonts w:hint="eastAsia" w:asciiTheme="minorEastAsia" w:hAnsiTheme="minorEastAsia" w:eastAsiaTheme="minorEastAsia"/>
          <w:sz w:val="24"/>
        </w:rPr>
      </w:pPr>
      <w:r>
        <w:rPr>
          <w:rFonts w:hint="eastAsia" w:asciiTheme="minorEastAsia" w:hAnsiTheme="minorEastAsia" w:eastAsiaTheme="minorEastAsia"/>
          <w:sz w:val="24"/>
          <w:lang w:val="en-US" w:eastAsia="zh-CN"/>
        </w:rPr>
        <w:t>授权</w:t>
      </w:r>
      <w:r>
        <w:rPr>
          <w:rFonts w:hint="eastAsia" w:asciiTheme="minorEastAsia" w:hAnsiTheme="minorEastAsia" w:eastAsiaTheme="minorEastAsia"/>
          <w:sz w:val="24"/>
        </w:rPr>
        <w:t xml:space="preserve">代表人(签名)：                   </w:t>
      </w:r>
      <w:r>
        <w:rPr>
          <w:rFonts w:hint="eastAsia" w:asciiTheme="minorEastAsia" w:hAnsiTheme="minorEastAsia" w:eastAsiaTheme="minorEastAsia"/>
          <w:sz w:val="24"/>
          <w:lang w:val="en-US" w:eastAsia="zh-CN"/>
        </w:rPr>
        <w:t xml:space="preserve">      </w:t>
      </w:r>
      <w:r>
        <w:rPr>
          <w:rFonts w:hint="eastAsia" w:asciiTheme="minorEastAsia" w:hAnsiTheme="minorEastAsia" w:eastAsiaTheme="minorEastAsia"/>
          <w:sz w:val="24"/>
        </w:rPr>
        <w:t xml:space="preserve">法定代表人(签名)：        </w:t>
      </w:r>
    </w:p>
    <w:p w14:paraId="0F33F8C1">
      <w:pPr>
        <w:spacing w:line="360" w:lineRule="auto"/>
        <w:ind w:firstLine="960" w:firstLineChars="400"/>
        <w:rPr>
          <w:rFonts w:hint="eastAsia" w:asciiTheme="minorEastAsia" w:hAnsiTheme="minorEastAsia" w:eastAsiaTheme="minorEastAsia"/>
          <w:sz w:val="24"/>
        </w:rPr>
      </w:pPr>
      <w:r>
        <w:rPr>
          <w:rFonts w:hint="eastAsia" w:asciiTheme="minorEastAsia" w:hAnsiTheme="minorEastAsia" w:eastAsiaTheme="minorEastAsia"/>
          <w:sz w:val="24"/>
        </w:rPr>
        <w:t xml:space="preserve"> （盖章）                                   （盖章）</w:t>
      </w:r>
    </w:p>
    <w:p w14:paraId="01956B1C">
      <w:pPr>
        <w:spacing w:line="360" w:lineRule="auto"/>
        <w:rPr>
          <w:rFonts w:hint="eastAsia" w:asciiTheme="minorEastAsia" w:hAnsiTheme="minorEastAsia" w:eastAsiaTheme="minorEastAsia"/>
          <w:sz w:val="24"/>
          <w:szCs w:val="24"/>
        </w:rPr>
      </w:pPr>
      <w:r>
        <w:rPr>
          <w:rFonts w:hint="eastAsia" w:asciiTheme="minorEastAsia" w:hAnsiTheme="minorEastAsia" w:eastAsiaTheme="minorEastAsia"/>
          <w:sz w:val="24"/>
        </w:rPr>
        <w:t xml:space="preserve">     年   月   日                                 年    月   日</w:t>
      </w:r>
    </w:p>
    <w:p w14:paraId="303F781E"/>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cript"/>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3137281"/>
    </w:sdtPr>
    <w:sdtContent>
      <w:sdt>
        <w:sdtPr>
          <w:id w:val="1728636285"/>
        </w:sdtPr>
        <w:sdtContent>
          <w:p w14:paraId="61B4C86E">
            <w:pPr>
              <w:pStyle w:val="7"/>
              <w:jc w:val="center"/>
            </w:pP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6</w:t>
            </w:r>
            <w:r>
              <w:rPr>
                <w:b/>
                <w:bCs/>
                <w:sz w:val="24"/>
                <w:szCs w:val="24"/>
              </w:rPr>
              <w:fldChar w:fldCharType="end"/>
            </w:r>
          </w:p>
        </w:sdtContent>
      </w:sdt>
    </w:sdtContent>
  </w:sdt>
  <w:p w14:paraId="7088EB36">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061369"/>
    <w:multiLevelType w:val="singleLevel"/>
    <w:tmpl w:val="2E061369"/>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VkZDNhOGY1NmZjZTQ0OTIxN2MzMjViYmRjMzJjMjUifQ=="/>
  </w:docVars>
  <w:rsids>
    <w:rsidRoot w:val="00BB581B"/>
    <w:rsid w:val="001C68D4"/>
    <w:rsid w:val="002026E2"/>
    <w:rsid w:val="00211A84"/>
    <w:rsid w:val="00230D52"/>
    <w:rsid w:val="002B4E35"/>
    <w:rsid w:val="00311192"/>
    <w:rsid w:val="00312939"/>
    <w:rsid w:val="00331DAC"/>
    <w:rsid w:val="00364705"/>
    <w:rsid w:val="003D6672"/>
    <w:rsid w:val="00497352"/>
    <w:rsid w:val="004A37B6"/>
    <w:rsid w:val="004A4AE5"/>
    <w:rsid w:val="004B6C86"/>
    <w:rsid w:val="00536D5D"/>
    <w:rsid w:val="005730FD"/>
    <w:rsid w:val="005C747A"/>
    <w:rsid w:val="00627D04"/>
    <w:rsid w:val="00732656"/>
    <w:rsid w:val="00753EBF"/>
    <w:rsid w:val="007A778C"/>
    <w:rsid w:val="007C193D"/>
    <w:rsid w:val="007F1697"/>
    <w:rsid w:val="0087386D"/>
    <w:rsid w:val="008B417F"/>
    <w:rsid w:val="00974BAB"/>
    <w:rsid w:val="00986364"/>
    <w:rsid w:val="00994032"/>
    <w:rsid w:val="009959EB"/>
    <w:rsid w:val="009E345E"/>
    <w:rsid w:val="00A25E1C"/>
    <w:rsid w:val="00A80347"/>
    <w:rsid w:val="00A9134E"/>
    <w:rsid w:val="00B27733"/>
    <w:rsid w:val="00B84BA0"/>
    <w:rsid w:val="00BB581B"/>
    <w:rsid w:val="00BF15A5"/>
    <w:rsid w:val="00BF693B"/>
    <w:rsid w:val="00C03D7A"/>
    <w:rsid w:val="00C13F84"/>
    <w:rsid w:val="00C81747"/>
    <w:rsid w:val="00C94F32"/>
    <w:rsid w:val="00CD6B34"/>
    <w:rsid w:val="00CF69A2"/>
    <w:rsid w:val="00D00BFC"/>
    <w:rsid w:val="00D07E47"/>
    <w:rsid w:val="00D12CBA"/>
    <w:rsid w:val="00D27D42"/>
    <w:rsid w:val="00DD693E"/>
    <w:rsid w:val="00EA426D"/>
    <w:rsid w:val="00FA4A76"/>
    <w:rsid w:val="00FC5A41"/>
    <w:rsid w:val="059F029C"/>
    <w:rsid w:val="16181646"/>
    <w:rsid w:val="1FF2613D"/>
    <w:rsid w:val="200515E6"/>
    <w:rsid w:val="224272FF"/>
    <w:rsid w:val="3A890A74"/>
    <w:rsid w:val="424E7209"/>
    <w:rsid w:val="591406F2"/>
    <w:rsid w:val="5B607C0C"/>
    <w:rsid w:val="609A1BFB"/>
    <w:rsid w:val="69A51245"/>
    <w:rsid w:val="6AA63C76"/>
    <w:rsid w:val="7D062A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9"/>
    <w:semiHidden/>
    <w:unhideWhenUsed/>
    <w:qFormat/>
    <w:uiPriority w:val="99"/>
    <w:rPr>
      <w:rFonts w:ascii="宋体"/>
      <w:sz w:val="18"/>
      <w:szCs w:val="18"/>
    </w:rPr>
  </w:style>
  <w:style w:type="paragraph" w:styleId="3">
    <w:name w:val="annotation text"/>
    <w:basedOn w:val="1"/>
    <w:link w:val="23"/>
    <w:semiHidden/>
    <w:unhideWhenUsed/>
    <w:qFormat/>
    <w:uiPriority w:val="99"/>
    <w:pPr>
      <w:jc w:val="left"/>
    </w:pPr>
  </w:style>
  <w:style w:type="paragraph" w:styleId="4">
    <w:name w:val="Body Text Indent"/>
    <w:basedOn w:val="1"/>
    <w:link w:val="15"/>
    <w:semiHidden/>
    <w:unhideWhenUsed/>
    <w:qFormat/>
    <w:uiPriority w:val="0"/>
    <w:pPr>
      <w:ind w:left="480"/>
    </w:pPr>
    <w:rPr>
      <w:sz w:val="24"/>
    </w:rPr>
  </w:style>
  <w:style w:type="paragraph" w:styleId="5">
    <w:name w:val="Body Text Indent 2"/>
    <w:basedOn w:val="1"/>
    <w:link w:val="16"/>
    <w:unhideWhenUsed/>
    <w:qFormat/>
    <w:uiPriority w:val="0"/>
    <w:pPr>
      <w:spacing w:line="300" w:lineRule="auto"/>
      <w:ind w:left="360"/>
    </w:pPr>
    <w:rPr>
      <w:sz w:val="24"/>
    </w:rPr>
  </w:style>
  <w:style w:type="paragraph" w:styleId="6">
    <w:name w:val="Balloon Text"/>
    <w:basedOn w:val="1"/>
    <w:link w:val="22"/>
    <w:semiHidden/>
    <w:unhideWhenUsed/>
    <w:qFormat/>
    <w:uiPriority w:val="99"/>
    <w:rPr>
      <w:rFonts w:ascii="宋体"/>
      <w:sz w:val="18"/>
      <w:szCs w:val="18"/>
    </w:rPr>
  </w:style>
  <w:style w:type="paragraph" w:styleId="7">
    <w:name w:val="footer"/>
    <w:basedOn w:val="1"/>
    <w:link w:val="18"/>
    <w:qFormat/>
    <w:uiPriority w:val="99"/>
    <w:pPr>
      <w:tabs>
        <w:tab w:val="center" w:pos="4153"/>
        <w:tab w:val="right" w:pos="8306"/>
      </w:tabs>
      <w:autoSpaceDE w:val="0"/>
      <w:autoSpaceDN w:val="0"/>
      <w:adjustRightInd w:val="0"/>
      <w:snapToGrid w:val="0"/>
      <w:jc w:val="left"/>
    </w:pPr>
    <w:rPr>
      <w:rFonts w:ascii="宋体"/>
      <w:kern w:val="0"/>
      <w:sz w:val="18"/>
      <w:szCs w:val="18"/>
    </w:rPr>
  </w:style>
  <w:style w:type="paragraph" w:styleId="8">
    <w:name w:val="header"/>
    <w:basedOn w:val="1"/>
    <w:link w:val="21"/>
    <w:unhideWhenUsed/>
    <w:qFormat/>
    <w:uiPriority w:val="99"/>
    <w:pPr>
      <w:tabs>
        <w:tab w:val="center" w:pos="4153"/>
        <w:tab w:val="right" w:pos="8306"/>
      </w:tabs>
      <w:snapToGrid w:val="0"/>
      <w:jc w:val="center"/>
    </w:pPr>
    <w:rPr>
      <w:sz w:val="18"/>
      <w:szCs w:val="18"/>
    </w:rPr>
  </w:style>
  <w:style w:type="paragraph" w:styleId="9">
    <w:name w:val="Title"/>
    <w:basedOn w:val="1"/>
    <w:next w:val="1"/>
    <w:link w:val="17"/>
    <w:qFormat/>
    <w:uiPriority w:val="10"/>
    <w:pPr>
      <w:spacing w:before="240" w:after="60"/>
      <w:jc w:val="center"/>
      <w:outlineLvl w:val="0"/>
    </w:pPr>
    <w:rPr>
      <w:rFonts w:asciiTheme="majorHAnsi" w:hAnsiTheme="majorHAnsi" w:cstheme="majorBidi"/>
      <w:b/>
      <w:bCs/>
      <w:sz w:val="32"/>
      <w:szCs w:val="32"/>
    </w:rPr>
  </w:style>
  <w:style w:type="paragraph" w:styleId="10">
    <w:name w:val="annotation subject"/>
    <w:basedOn w:val="3"/>
    <w:next w:val="3"/>
    <w:link w:val="24"/>
    <w:semiHidden/>
    <w:unhideWhenUsed/>
    <w:qFormat/>
    <w:uiPriority w:val="99"/>
    <w:rPr>
      <w:b/>
      <w:bCs/>
    </w:rPr>
  </w:style>
  <w:style w:type="character" w:styleId="13">
    <w:name w:val="page number"/>
    <w:basedOn w:val="12"/>
    <w:qFormat/>
    <w:uiPriority w:val="0"/>
  </w:style>
  <w:style w:type="character" w:styleId="14">
    <w:name w:val="annotation reference"/>
    <w:basedOn w:val="12"/>
    <w:semiHidden/>
    <w:unhideWhenUsed/>
    <w:qFormat/>
    <w:uiPriority w:val="99"/>
    <w:rPr>
      <w:sz w:val="21"/>
      <w:szCs w:val="21"/>
    </w:rPr>
  </w:style>
  <w:style w:type="character" w:customStyle="1" w:styleId="15">
    <w:name w:val="正文文本缩进字符"/>
    <w:basedOn w:val="12"/>
    <w:link w:val="4"/>
    <w:semiHidden/>
    <w:qFormat/>
    <w:uiPriority w:val="0"/>
    <w:rPr>
      <w:rFonts w:ascii="Times New Roman" w:hAnsi="Times New Roman" w:eastAsia="宋体" w:cs="Times New Roman"/>
      <w:sz w:val="24"/>
      <w:szCs w:val="20"/>
    </w:rPr>
  </w:style>
  <w:style w:type="character" w:customStyle="1" w:styleId="16">
    <w:name w:val="正文文本缩进 2字符"/>
    <w:basedOn w:val="12"/>
    <w:link w:val="5"/>
    <w:qFormat/>
    <w:uiPriority w:val="0"/>
    <w:rPr>
      <w:rFonts w:ascii="Times New Roman" w:hAnsi="Times New Roman" w:eastAsia="宋体" w:cs="Times New Roman"/>
      <w:sz w:val="24"/>
      <w:szCs w:val="20"/>
    </w:rPr>
  </w:style>
  <w:style w:type="character" w:customStyle="1" w:styleId="17">
    <w:name w:val="标题字符"/>
    <w:basedOn w:val="12"/>
    <w:link w:val="9"/>
    <w:qFormat/>
    <w:uiPriority w:val="10"/>
    <w:rPr>
      <w:rFonts w:eastAsia="宋体" w:asciiTheme="majorHAnsi" w:hAnsiTheme="majorHAnsi" w:cstheme="majorBidi"/>
      <w:b/>
      <w:bCs/>
      <w:sz w:val="32"/>
      <w:szCs w:val="32"/>
    </w:rPr>
  </w:style>
  <w:style w:type="character" w:customStyle="1" w:styleId="18">
    <w:name w:val="页脚字符"/>
    <w:basedOn w:val="12"/>
    <w:link w:val="7"/>
    <w:qFormat/>
    <w:uiPriority w:val="99"/>
    <w:rPr>
      <w:rFonts w:ascii="宋体" w:hAnsi="Times New Roman" w:eastAsia="宋体" w:cs="Times New Roman"/>
      <w:kern w:val="0"/>
      <w:sz w:val="18"/>
      <w:szCs w:val="18"/>
    </w:rPr>
  </w:style>
  <w:style w:type="character" w:customStyle="1" w:styleId="19">
    <w:name w:val="文档结构图字符"/>
    <w:basedOn w:val="12"/>
    <w:link w:val="2"/>
    <w:semiHidden/>
    <w:qFormat/>
    <w:uiPriority w:val="99"/>
    <w:rPr>
      <w:rFonts w:ascii="宋体" w:hAnsi="Times New Roman" w:eastAsia="宋体" w:cs="Times New Roman"/>
      <w:sz w:val="18"/>
      <w:szCs w:val="18"/>
    </w:rPr>
  </w:style>
  <w:style w:type="paragraph" w:customStyle="1" w:styleId="20">
    <w:name w:val="Revision"/>
    <w:hidden/>
    <w:unhideWhenUsed/>
    <w:qFormat/>
    <w:uiPriority w:val="99"/>
    <w:rPr>
      <w:rFonts w:ascii="Times New Roman" w:hAnsi="Times New Roman" w:eastAsia="宋体" w:cs="Times New Roman"/>
      <w:kern w:val="2"/>
      <w:sz w:val="21"/>
      <w:lang w:val="en-US" w:eastAsia="zh-CN" w:bidi="ar-SA"/>
    </w:rPr>
  </w:style>
  <w:style w:type="character" w:customStyle="1" w:styleId="21">
    <w:name w:val="页眉字符"/>
    <w:basedOn w:val="12"/>
    <w:link w:val="8"/>
    <w:qFormat/>
    <w:uiPriority w:val="99"/>
    <w:rPr>
      <w:kern w:val="2"/>
      <w:sz w:val="18"/>
      <w:szCs w:val="18"/>
    </w:rPr>
  </w:style>
  <w:style w:type="character" w:customStyle="1" w:styleId="22">
    <w:name w:val="批注框文本字符"/>
    <w:basedOn w:val="12"/>
    <w:link w:val="6"/>
    <w:semiHidden/>
    <w:qFormat/>
    <w:uiPriority w:val="99"/>
    <w:rPr>
      <w:rFonts w:ascii="宋体"/>
      <w:kern w:val="2"/>
      <w:sz w:val="18"/>
      <w:szCs w:val="18"/>
    </w:rPr>
  </w:style>
  <w:style w:type="character" w:customStyle="1" w:styleId="23">
    <w:name w:val="批注文字字符"/>
    <w:basedOn w:val="12"/>
    <w:link w:val="3"/>
    <w:semiHidden/>
    <w:qFormat/>
    <w:uiPriority w:val="99"/>
    <w:rPr>
      <w:kern w:val="2"/>
      <w:sz w:val="21"/>
    </w:rPr>
  </w:style>
  <w:style w:type="character" w:customStyle="1" w:styleId="24">
    <w:name w:val="批注主题字符"/>
    <w:basedOn w:val="23"/>
    <w:link w:val="10"/>
    <w:semiHidden/>
    <w:qFormat/>
    <w:uiPriority w:val="99"/>
    <w:rPr>
      <w:b/>
      <w:bCs/>
      <w:kern w:val="2"/>
      <w:sz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2783</Words>
  <Characters>2948</Characters>
  <Lines>25</Lines>
  <Paragraphs>7</Paragraphs>
  <TotalTime>1</TotalTime>
  <ScaleCrop>false</ScaleCrop>
  <LinksUpToDate>false</LinksUpToDate>
  <CharactersWithSpaces>3471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2020-10-15T03:05:00Z</dcterms:created>
  <dc:creator>Administrator</dc:creator>
  <cp:lastModifiedBy>WPS_1606625477</cp:lastModifiedBy>
  <dcterms:modified xsi:type="dcterms:W3CDTF">2025-06-03T02:40:00Z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2CDE41FDB5FD4D96974E7A7B49EB77B1_13</vt:lpwstr>
  </property>
  <property fmtid="{D5CDD505-2E9C-101B-9397-08002B2CF9AE}" pid="4" name="KSOTemplateDocerSaveRecord">
    <vt:lpwstr>eyJoZGlkIjoiMjViZWIwM2VlYjg2OTA5YmFkMTdlNGNkZjljYjg5NzIiLCJ1c2VySWQiOiIxMTQ3ODA3NDY1In0=</vt:lpwstr>
  </property>
</Properties>
</file>